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Pragmatic GRC™</w:t>
      </w:r>
    </w:p>
    <w:p>
      <w:pPr>
        <w:jc w:val="center"/>
      </w:pPr>
      <w:r>
        <w:rPr>
          <w:b/>
          <w:sz w:val="32"/>
        </w:rPr>
        <w:t>C-006</w:t>
        <w:br/>
        <w:t>Identity Offboarding Protocol</w:t>
      </w:r>
    </w:p>
    <w:p>
      <w:pPr>
        <w:pStyle w:val="Subtitle"/>
      </w:pPr>
      <w:r>
        <w:t>Operational Template | Version 1.0</w:t>
      </w:r>
    </w:p>
    <w:p>
      <w:pPr>
        <w:pStyle w:val="Heading1"/>
      </w:pPr>
      <w:r>
        <w:t>Document Information</w:t>
      </w:r>
    </w:p>
    <w:tbl>
      <w:tblPr>
        <w:tblStyle w:val="TableGrid"/>
        <w:tblW w:type="auto" w:w="0"/>
        <w:tblLook w:firstColumn="1" w:firstRow="1" w:lastColumn="0" w:lastRow="0" w:noHBand="0" w:noVBand="1" w:val="04A0"/>
      </w:tblPr>
      <w:tblGrid>
        <w:gridCol w:w="4320"/>
        <w:gridCol w:w="4320"/>
      </w:tblGrid>
      <w:tr>
        <w:tc>
          <w:tcPr>
            <w:tcW w:type="dxa" w:w="4320"/>
          </w:tcPr>
          <w:p>
            <w:r>
              <w:t>Organization</w:t>
            </w:r>
          </w:p>
        </w:tc>
        <w:tc>
          <w:tcPr>
            <w:tcW w:type="dxa" w:w="4320"/>
          </w:tcPr>
          <w:p>
            <w:r>
              <w:t>Orrville Medical Associates</w:t>
            </w:r>
          </w:p>
        </w:tc>
      </w:tr>
      <w:tr>
        <w:tc>
          <w:tcPr>
            <w:tcW w:type="dxa" w:w="4320"/>
          </w:tcPr>
          <w:p>
            <w:r>
              <w:t>Prepared By</w:t>
            </w:r>
          </w:p>
        </w:tc>
        <w:tc>
          <w:tcPr>
            <w:tcW w:type="dxa" w:w="4320"/>
          </w:tcPr>
          <w:p>
            <w:r>
              <w:t>Linda Foster</w:t>
            </w:r>
          </w:p>
        </w:tc>
      </w:tr>
      <w:tr>
        <w:tc>
          <w:tcPr>
            <w:tcW w:type="dxa" w:w="4320"/>
          </w:tcPr>
          <w:p>
            <w:r>
              <w:t>Approved By</w:t>
            </w:r>
          </w:p>
        </w:tc>
        <w:tc>
          <w:tcPr>
            <w:tcW w:type="dxa" w:w="4320"/>
          </w:tcPr>
          <w:p>
            <w:r>
              <w:t>Dr. Michael Bennett</w:t>
            </w:r>
          </w:p>
        </w:tc>
      </w:tr>
      <w:tr>
        <w:tc>
          <w:tcPr>
            <w:tcW w:type="dxa" w:w="4320"/>
          </w:tcPr>
          <w:p>
            <w:r>
              <w:t>Effective Date</w:t>
            </w:r>
          </w:p>
        </w:tc>
        <w:tc>
          <w:tcPr>
            <w:tcW w:type="dxa" w:w="4320"/>
          </w:tcPr>
          <w:p>
            <w:r>
              <w:t>October 1, 2026</w:t>
            </w:r>
          </w:p>
        </w:tc>
      </w:tr>
      <w:tr>
        <w:tc>
          <w:tcPr>
            <w:tcW w:type="dxa" w:w="4320"/>
          </w:tcPr>
          <w:p>
            <w:r>
              <w:t>Next Review</w:t>
            </w:r>
          </w:p>
        </w:tc>
        <w:tc>
          <w:tcPr>
            <w:tcW w:type="dxa" w:w="4320"/>
          </w:tcPr>
          <w:p>
            <w:r>
              <w:t>October 2027</w:t>
            </w:r>
          </w:p>
        </w:tc>
      </w:tr>
      <w:tr>
        <w:tc>
          <w:tcPr>
            <w:tcW w:type="dxa" w:w="4320"/>
          </w:tcPr>
          <w:p>
            <w:r>
              <w:t>Related Resources</w:t>
            </w:r>
          </w:p>
        </w:tc>
        <w:tc>
          <w:tcPr>
            <w:tcW w:type="dxa" w:w="4320"/>
          </w:tcPr>
          <w:p>
            <w:r>
              <w:t>F-002, F-004, C-001, G-002</w:t>
            </w:r>
          </w:p>
        </w:tc>
      </w:tr>
    </w:tbl>
    <w:p/>
    <w:p>
      <w:pPr>
        <w:pStyle w:val="Heading1"/>
      </w:pPr>
      <w:r>
        <w:t>Purpose</w:t>
      </w:r>
    </w:p>
    <w:p>
      <w:r>
        <w:rPr>
          <w:b w:val="0"/>
          <w:i w:val="0"/>
        </w:rPr>
        <w:t>Ensure that when someone leaves Orrville Medical Associates — or changes roles — their access to every system is revoked completely and on time. This protocol formalizes a process that previously relied on verbal notification only, closing the gap identified as R-005 in the Enterprise Risk Register.</w:t>
      </w:r>
    </w:p>
    <w:p>
      <w:pPr>
        <w:pStyle w:val="Heading1"/>
      </w:pPr>
      <w:r>
        <w:t>1. Trigger Events</w:t>
      </w:r>
    </w:p>
    <w:tbl>
      <w:tblPr>
        <w:tblStyle w:val="TableGrid"/>
        <w:tblW w:type="auto" w:w="0"/>
        <w:tblLook w:firstColumn="1" w:firstRow="1" w:lastColumn="0" w:lastRow="0" w:noHBand="0" w:noVBand="1" w:val="04A0"/>
      </w:tblPr>
      <w:tblGrid>
        <w:gridCol w:w="4320"/>
        <w:gridCol w:w="4320"/>
      </w:tblGrid>
      <w:tr>
        <w:tc>
          <w:tcPr>
            <w:tcW w:type="dxa" w:w="4320"/>
          </w:tcPr>
          <w:p>
            <w:r>
              <w:rPr>
                <w:b/>
              </w:rPr>
              <w:t>Trigger</w:t>
            </w:r>
          </w:p>
        </w:tc>
        <w:tc>
          <w:tcPr>
            <w:tcW w:type="dxa" w:w="4320"/>
          </w:tcPr>
          <w:p>
            <w:r>
              <w:rPr>
                <w:b/>
              </w:rPr>
              <w:t>Timing Standard</w:t>
            </w:r>
          </w:p>
        </w:tc>
      </w:tr>
      <w:tr>
        <w:tc>
          <w:tcPr>
            <w:tcW w:type="dxa" w:w="4320"/>
          </w:tcPr>
          <w:p>
            <w:r>
              <w:t>Involuntary termination</w:t>
            </w:r>
          </w:p>
        </w:tc>
        <w:tc>
          <w:tcPr>
            <w:tcW w:type="dxa" w:w="4320"/>
          </w:tcPr>
          <w:p>
            <w:r>
              <w:t>Immediately — before the employee is notified, where possible</w:t>
            </w:r>
          </w:p>
        </w:tc>
      </w:tr>
      <w:tr>
        <w:tc>
          <w:tcPr>
            <w:tcW w:type="dxa" w:w="4320"/>
          </w:tcPr>
          <w:p>
            <w:r>
              <w:t>Voluntary resignation</w:t>
            </w:r>
          </w:p>
        </w:tc>
        <w:tc>
          <w:tcPr>
            <w:tcW w:type="dxa" w:w="4320"/>
          </w:tcPr>
          <w:p>
            <w:r>
              <w:t>By end of final business day</w:t>
            </w:r>
          </w:p>
        </w:tc>
      </w:tr>
      <w:tr>
        <w:tc>
          <w:tcPr>
            <w:tcW w:type="dxa" w:w="4320"/>
          </w:tcPr>
          <w:p>
            <w:r>
              <w:t>Role change removing system access needs</w:t>
            </w:r>
          </w:p>
        </w:tc>
        <w:tc>
          <w:tcPr>
            <w:tcW w:type="dxa" w:w="4320"/>
          </w:tcPr>
          <w:p>
            <w:r>
              <w:t>Within 5 business days</w:t>
            </w:r>
          </w:p>
        </w:tc>
      </w:tr>
      <w:tr>
        <w:tc>
          <w:tcPr>
            <w:tcW w:type="dxa" w:w="4320"/>
          </w:tcPr>
          <w:p>
            <w:r>
              <w:t>Contractor or vendor engagement ends</w:t>
            </w:r>
          </w:p>
        </w:tc>
        <w:tc>
          <w:tcPr>
            <w:tcW w:type="dxa" w:w="4320"/>
          </w:tcPr>
          <w:p>
            <w:r>
              <w:t>By the end of the engagement's final day</w:t>
            </w:r>
          </w:p>
        </w:tc>
      </w:tr>
    </w:tbl>
    <w:p/>
    <w:p>
      <w:r>
        <w:rPr>
          <w:b/>
        </w:rPr>
        <w:t xml:space="preserve">⚠ Warning: </w:t>
      </w:r>
      <w:r>
        <w:t>Involuntary terminations carry the highest risk of retaliatory access misuse. Access should be revoked before or at the moment of notification, not after.</w:t>
      </w:r>
    </w:p>
    <w:p>
      <w:pPr>
        <w:pStyle w:val="Heading1"/>
      </w:pPr>
      <w:r>
        <w:t>2. Offboarding Checklist by System</w:t>
      </w:r>
    </w:p>
    <w:p>
      <w:r>
        <w:rPr>
          <w:b w:val="0"/>
          <w:i w:val="0"/>
        </w:rPr>
        <w:t>This checklist covers every system currently tracked in F-001 — Master Asset Register for Orrville Medical Associates.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System / Access</w:t>
            </w:r>
          </w:p>
        </w:tc>
        <w:tc>
          <w:tcPr>
            <w:tcW w:type="dxa" w:w="2160"/>
          </w:tcPr>
          <w:p>
            <w:r>
              <w:rPr>
                <w:b/>
              </w:rPr>
              <w:t>Action Required</w:t>
            </w:r>
          </w:p>
        </w:tc>
        <w:tc>
          <w:tcPr>
            <w:tcW w:type="dxa" w:w="2160"/>
          </w:tcPr>
          <w:p>
            <w:r>
              <w:rPr>
                <w:b/>
              </w:rPr>
              <w:t>Responsible Party</w:t>
            </w:r>
          </w:p>
        </w:tc>
        <w:tc>
          <w:tcPr>
            <w:tcW w:type="dxa" w:w="2160"/>
          </w:tcPr>
          <w:p>
            <w:r>
              <w:rPr>
                <w:b/>
              </w:rPr>
              <w:t>Completed</w:t>
            </w:r>
          </w:p>
        </w:tc>
      </w:tr>
      <w:tr>
        <w:tc>
          <w:tcPr>
            <w:tcW w:type="dxa" w:w="2160"/>
          </w:tcPr>
          <w:p>
            <w:r>
              <w:t>Email &amp; Microsoft 365</w:t>
            </w:r>
          </w:p>
        </w:tc>
        <w:tc>
          <w:tcPr>
            <w:tcW w:type="dxa" w:w="2160"/>
          </w:tcPr>
          <w:p>
            <w:r>
              <w:t>Disable account; reset password; set forwarding/auto-reply if needed</w:t>
            </w:r>
          </w:p>
        </w:tc>
        <w:tc>
          <w:tcPr>
            <w:tcW w:type="dxa" w:w="2160"/>
          </w:tcPr>
          <w:p>
            <w:r>
              <w:t>Summit IT Partners</w:t>
            </w:r>
          </w:p>
        </w:tc>
        <w:tc>
          <w:tcPr>
            <w:tcW w:type="dxa" w:w="2160"/>
          </w:tcPr>
          <w:p>
            <w:r>
              <w:t>☐</w:t>
            </w:r>
          </w:p>
        </w:tc>
      </w:tr>
      <w:tr>
        <w:tc>
          <w:tcPr>
            <w:tcW w:type="dxa" w:w="2160"/>
          </w:tcPr>
          <w:p>
            <w:r>
              <w:t>SharePoint &amp; Teams</w:t>
            </w:r>
          </w:p>
        </w:tc>
        <w:tc>
          <w:tcPr>
            <w:tcW w:type="dxa" w:w="2160"/>
          </w:tcPr>
          <w:p>
            <w:r>
              <w:t>Remove from all sites, channels, and shared files</w:t>
            </w:r>
          </w:p>
        </w:tc>
        <w:tc>
          <w:tcPr>
            <w:tcW w:type="dxa" w:w="2160"/>
          </w:tcPr>
          <w:p>
            <w:r>
              <w:t>Summit IT Partners</w:t>
            </w:r>
          </w:p>
        </w:tc>
        <w:tc>
          <w:tcPr>
            <w:tcW w:type="dxa" w:w="2160"/>
          </w:tcPr>
          <w:p>
            <w:r>
              <w:t>☐</w:t>
            </w:r>
          </w:p>
        </w:tc>
      </w:tr>
      <w:tr>
        <w:tc>
          <w:tcPr>
            <w:tcW w:type="dxa" w:w="2160"/>
          </w:tcPr>
          <w:p>
            <w:r>
              <w:t>EHR System</w:t>
            </w:r>
          </w:p>
        </w:tc>
        <w:tc>
          <w:tcPr>
            <w:tcW w:type="dxa" w:w="2160"/>
          </w:tcPr>
          <w:p>
            <w:r>
              <w:t>Revoke login credentials; confirm no active sessions remain</w:t>
            </w:r>
          </w:p>
        </w:tc>
        <w:tc>
          <w:tcPr>
            <w:tcW w:type="dxa" w:w="2160"/>
          </w:tcPr>
          <w:p>
            <w:r>
              <w:t>Summit IT Partners</w:t>
            </w:r>
          </w:p>
        </w:tc>
        <w:tc>
          <w:tcPr>
            <w:tcW w:type="dxa" w:w="2160"/>
          </w:tcPr>
          <w:p>
            <w:r>
              <w:t>☐</w:t>
            </w:r>
          </w:p>
        </w:tc>
      </w:tr>
      <w:tr>
        <w:tc>
          <w:tcPr>
            <w:tcW w:type="dxa" w:w="2160"/>
          </w:tcPr>
          <w:p>
            <w:r>
              <w:t>Patient Scheduling System</w:t>
            </w:r>
          </w:p>
        </w:tc>
        <w:tc>
          <w:tcPr>
            <w:tcW w:type="dxa" w:w="2160"/>
          </w:tcPr>
          <w:p>
            <w:r>
              <w:t>Revoke access</w:t>
            </w:r>
          </w:p>
        </w:tc>
        <w:tc>
          <w:tcPr>
            <w:tcW w:type="dxa" w:w="2160"/>
          </w:tcPr>
          <w:p>
            <w:r>
              <w:t>Linda Foster</w:t>
            </w:r>
          </w:p>
        </w:tc>
        <w:tc>
          <w:tcPr>
            <w:tcW w:type="dxa" w:w="2160"/>
          </w:tcPr>
          <w:p>
            <w:r>
              <w:t>☐</w:t>
            </w:r>
          </w:p>
        </w:tc>
      </w:tr>
      <w:tr>
        <w:tc>
          <w:tcPr>
            <w:tcW w:type="dxa" w:w="2160"/>
          </w:tcPr>
          <w:p>
            <w:r>
              <w:t>Patient Billing System</w:t>
            </w:r>
          </w:p>
        </w:tc>
        <w:tc>
          <w:tcPr>
            <w:tcW w:type="dxa" w:w="2160"/>
          </w:tcPr>
          <w:p>
            <w:r>
              <w:t>Revoke access</w:t>
            </w:r>
          </w:p>
        </w:tc>
        <w:tc>
          <w:tcPr>
            <w:tcW w:type="dxa" w:w="2160"/>
          </w:tcPr>
          <w:p>
            <w:r>
              <w:t>Linda Foster</w:t>
            </w:r>
          </w:p>
        </w:tc>
        <w:tc>
          <w:tcPr>
            <w:tcW w:type="dxa" w:w="2160"/>
          </w:tcPr>
          <w:p>
            <w:r>
              <w:t>☐</w:t>
            </w:r>
          </w:p>
        </w:tc>
      </w:tr>
      <w:tr>
        <w:tc>
          <w:tcPr>
            <w:tcW w:type="dxa" w:w="2160"/>
          </w:tcPr>
          <w:p>
            <w:r>
              <w:t>Practice Website / Domain Admin</w:t>
            </w:r>
          </w:p>
        </w:tc>
        <w:tc>
          <w:tcPr>
            <w:tcW w:type="dxa" w:w="2160"/>
          </w:tcPr>
          <w:p>
            <w:r>
              <w:t>Remove administrative access, if applicable</w:t>
            </w:r>
          </w:p>
        </w:tc>
        <w:tc>
          <w:tcPr>
            <w:tcW w:type="dxa" w:w="2160"/>
          </w:tcPr>
          <w:p>
            <w:r>
              <w:t>Summit IT Partners</w:t>
            </w:r>
          </w:p>
        </w:tc>
        <w:tc>
          <w:tcPr>
            <w:tcW w:type="dxa" w:w="2160"/>
          </w:tcPr>
          <w:p>
            <w:r>
              <w:t>☐</w:t>
            </w:r>
          </w:p>
        </w:tc>
      </w:tr>
      <w:tr>
        <w:tc>
          <w:tcPr>
            <w:tcW w:type="dxa" w:w="2160"/>
          </w:tcPr>
          <w:p>
            <w:r>
              <w:t>Shared Nursing Workstation Logins</w:t>
            </w:r>
          </w:p>
        </w:tc>
        <w:tc>
          <w:tcPr>
            <w:tcW w:type="dxa" w:w="2160"/>
          </w:tcPr>
          <w:p>
            <w:r>
              <w:t>Remove or reset individual credentials on shared devices</w:t>
            </w:r>
          </w:p>
        </w:tc>
        <w:tc>
          <w:tcPr>
            <w:tcW w:type="dxa" w:w="2160"/>
          </w:tcPr>
          <w:p>
            <w:r>
              <w:t>Summit IT Partners</w:t>
            </w:r>
          </w:p>
        </w:tc>
        <w:tc>
          <w:tcPr>
            <w:tcW w:type="dxa" w:w="2160"/>
          </w:tcPr>
          <w:p>
            <w:r>
              <w:t>☐</w:t>
            </w:r>
          </w:p>
        </w:tc>
      </w:tr>
      <w:tr>
        <w:tc>
          <w:tcPr>
            <w:tcW w:type="dxa" w:w="2160"/>
          </w:tcPr>
          <w:p>
            <w:r>
              <w:t>Company-Issued Devices</w:t>
            </w:r>
          </w:p>
        </w:tc>
        <w:tc>
          <w:tcPr>
            <w:tcW w:type="dxa" w:w="2160"/>
          </w:tcPr>
          <w:p>
            <w:r>
              <w:t>Collect laptop and/or iPhone/iPad; confirm remote wipe if not returned</w:t>
            </w:r>
          </w:p>
        </w:tc>
        <w:tc>
          <w:tcPr>
            <w:tcW w:type="dxa" w:w="2160"/>
          </w:tcPr>
          <w:p>
            <w:r>
              <w:t>Linda Foster</w:t>
            </w:r>
          </w:p>
        </w:tc>
        <w:tc>
          <w:tcPr>
            <w:tcW w:type="dxa" w:w="2160"/>
          </w:tcPr>
          <w:p>
            <w:r>
              <w:t>☐</w:t>
            </w:r>
          </w:p>
        </w:tc>
      </w:tr>
      <w:tr>
        <w:tc>
          <w:tcPr>
            <w:tcW w:type="dxa" w:w="2160"/>
          </w:tcPr>
          <w:p>
            <w:r>
              <w:t>Physical Access</w:t>
            </w:r>
          </w:p>
        </w:tc>
        <w:tc>
          <w:tcPr>
            <w:tcW w:type="dxa" w:w="2160"/>
          </w:tcPr>
          <w:p>
            <w:r>
              <w:t>Collect keys; disable alarm code; update door access list</w:t>
            </w:r>
          </w:p>
        </w:tc>
        <w:tc>
          <w:tcPr>
            <w:tcW w:type="dxa" w:w="2160"/>
          </w:tcPr>
          <w:p>
            <w:r>
              <w:t>Linda Foster</w:t>
            </w:r>
          </w:p>
        </w:tc>
        <w:tc>
          <w:tcPr>
            <w:tcW w:type="dxa" w:w="2160"/>
          </w:tcPr>
          <w:p>
            <w:r>
              <w:t>☐</w:t>
            </w:r>
          </w:p>
        </w:tc>
      </w:tr>
      <w:tr>
        <w:tc>
          <w:tcPr>
            <w:tcW w:type="dxa" w:w="2160"/>
          </w:tcPr>
          <w:p>
            <w:r>
              <w:t>MSP-Managed Accounts</w:t>
            </w:r>
          </w:p>
        </w:tc>
        <w:tc>
          <w:tcPr>
            <w:tcW w:type="dxa" w:w="2160"/>
          </w:tcPr>
          <w:p>
            <w:r>
              <w:t>Notify MSP in writing to confirm all remaining accounts are disabled</w:t>
            </w:r>
          </w:p>
        </w:tc>
        <w:tc>
          <w:tcPr>
            <w:tcW w:type="dxa" w:w="2160"/>
          </w:tcPr>
          <w:p>
            <w:r>
              <w:t>Linda Foster</w:t>
            </w:r>
          </w:p>
        </w:tc>
        <w:tc>
          <w:tcPr>
            <w:tcW w:type="dxa" w:w="2160"/>
          </w:tcPr>
          <w:p>
            <w:r>
              <w:t>☐</w:t>
            </w:r>
          </w:p>
        </w:tc>
      </w:tr>
    </w:tbl>
    <w:p/>
    <w:p>
      <w:pPr>
        <w:pStyle w:val="Heading1"/>
      </w:pPr>
      <w:r>
        <w:t>3. Roles &amp; Responsibilities</w:t>
      </w:r>
    </w:p>
    <w:p>
      <w:r>
        <w:rPr>
          <w:b w:val="0"/>
          <w:i w:val="0"/>
        </w:rPr>
        <w:t>Full role definitions are maintained in F-004 — Governance Roles &amp; Responsibilities. For this protocol specifically:</w:t>
      </w:r>
    </w:p>
    <w:tbl>
      <w:tblPr>
        <w:tblStyle w:val="TableGrid"/>
        <w:tblW w:type="auto" w:w="0"/>
        <w:tblLook w:firstColumn="1" w:firstRow="1" w:lastColumn="0" w:lastRow="0" w:noHBand="0" w:noVBand="1" w:val="04A0"/>
      </w:tblPr>
      <w:tblGrid>
        <w:gridCol w:w="4320"/>
        <w:gridCol w:w="4320"/>
      </w:tblGrid>
      <w:tr>
        <w:tc>
          <w:tcPr>
            <w:tcW w:type="dxa" w:w="4320"/>
          </w:tcPr>
          <w:p>
            <w:r>
              <w:rPr>
                <w:b/>
              </w:rPr>
              <w:t>Role</w:t>
            </w:r>
          </w:p>
        </w:tc>
        <w:tc>
          <w:tcPr>
            <w:tcW w:type="dxa" w:w="4320"/>
          </w:tcPr>
          <w:p>
            <w:r>
              <w:rPr>
                <w:b/>
              </w:rPr>
              <w:t>Responsibility in This Protocol</w:t>
            </w:r>
          </w:p>
        </w:tc>
      </w:tr>
      <w:tr>
        <w:tc>
          <w:tcPr>
            <w:tcW w:type="dxa" w:w="4320"/>
          </w:tcPr>
          <w:p>
            <w:r>
              <w:t>Linda Foster (Business Owner)</w:t>
            </w:r>
          </w:p>
        </w:tc>
        <w:tc>
          <w:tcPr>
            <w:tcW w:type="dxa" w:w="4320"/>
          </w:tcPr>
          <w:p>
            <w:r>
              <w:t>Initiates the protocol and confirms completion</w:t>
            </w:r>
          </w:p>
        </w:tc>
      </w:tr>
      <w:tr>
        <w:tc>
          <w:tcPr>
            <w:tcW w:type="dxa" w:w="4320"/>
          </w:tcPr>
          <w:p>
            <w:r>
              <w:t>Summit IT Partners (IT/MSP)</w:t>
            </w:r>
          </w:p>
        </w:tc>
        <w:tc>
          <w:tcPr>
            <w:tcW w:type="dxa" w:w="4320"/>
          </w:tcPr>
          <w:p>
            <w:r>
              <w:t>Executes technical access revocation across all systems</w:t>
            </w:r>
          </w:p>
        </w:tc>
      </w:tr>
      <w:tr>
        <w:tc>
          <w:tcPr>
            <w:tcW w:type="dxa" w:w="4320"/>
          </w:tcPr>
          <w:p>
            <w:r>
              <w:t>Dr. Michael Bennett (Executive Sponsor)</w:t>
            </w:r>
          </w:p>
        </w:tc>
        <w:tc>
          <w:tcPr>
            <w:tcW w:type="dxa" w:w="4320"/>
          </w:tcPr>
          <w:p>
            <w:r>
              <w:t>Notified for involuntary terminations and any exceptions</w:t>
            </w:r>
          </w:p>
        </w:tc>
      </w:tr>
    </w:tbl>
    <w:p/>
    <w:p>
      <w:pPr>
        <w:pStyle w:val="Heading1"/>
      </w:pPr>
      <w:r>
        <w:t>4. Timing Standard</w:t>
      </w:r>
    </w:p>
    <w:p>
      <w:r>
        <w:rPr>
          <w:b/>
          <w:i w:val="0"/>
        </w:rPr>
        <w:t>For involuntary terminations, technical access to systems containing PHI or financial data must be revoked within 60 minutes of the decision being made. For voluntary departures, same-business-day completion is the standard.</w:t>
      </w:r>
    </w:p>
    <w:p>
      <w:pPr>
        <w:pStyle w:val="Heading1"/>
      </w:pPr>
      <w:r>
        <w:t>5. Verification &amp; Sign-Off</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Verified By</w:t>
            </w:r>
          </w:p>
        </w:tc>
        <w:tc>
          <w:tcPr>
            <w:tcW w:type="dxa" w:w="2880"/>
          </w:tcPr>
          <w:p>
            <w:r>
              <w:rPr>
                <w:b/>
              </w:rPr>
              <w:t>Role</w:t>
            </w:r>
          </w:p>
        </w:tc>
        <w:tc>
          <w:tcPr>
            <w:tcW w:type="dxa" w:w="2880"/>
          </w:tcPr>
          <w:p>
            <w:r>
              <w:rPr>
                <w:b/>
              </w:rPr>
              <w:t>Date</w:t>
            </w:r>
          </w:p>
        </w:tc>
      </w:tr>
      <w:tr>
        <w:tc>
          <w:tcPr>
            <w:tcW w:type="dxa" w:w="2880"/>
          </w:tcPr>
          <w:p>
            <w:r>
              <w:t>Linda Foster</w:t>
            </w:r>
          </w:p>
        </w:tc>
        <w:tc>
          <w:tcPr>
            <w:tcW w:type="dxa" w:w="2880"/>
          </w:tcPr>
          <w:p>
            <w:r>
              <w:t>Business Owner</w:t>
            </w:r>
          </w:p>
        </w:tc>
        <w:tc>
          <w:tcPr>
            <w:tcW w:type="dxa" w:w="2880"/>
          </w:tcPr>
          <w:p>
            <w:r>
              <w:t>October 1, 2026</w:t>
            </w:r>
          </w:p>
        </w:tc>
      </w:tr>
    </w:tbl>
    <w:p/>
    <w:p>
      <w:pPr>
        <w:pStyle w:val="Heading1"/>
      </w:pPr>
      <w:r>
        <w:t>Small Business Adaptation</w:t>
      </w:r>
    </w:p>
    <w:p>
      <w:r>
        <w:rPr>
          <w:b w:val="0"/>
          <w:i w:val="0"/>
        </w:rPr>
        <w:t>Orrville does not use offboarding software. This checklist, run consistently by Linda Foster with Summit IT Partners for the technical steps, closes the gap that existed when offboarding relied on verbal notification alone.</w:t>
      </w:r>
    </w:p>
    <w:p>
      <w:r>
        <w:rPr>
          <w:b/>
        </w:rPr>
        <w:t xml:space="preserve">🔗 Related Resources: </w:t>
      </w:r>
      <w:r>
        <w:t>F-002 Unified System Security Plan • F-004 Governance Roles &amp; Responsibilities • C-001 Incident Response Playbook • G-002 Monthly GRC Heartbeat™ Checklist</w:t>
      </w:r>
    </w:p>
    <w:p>
      <w:pPr>
        <w:pStyle w:val="Heading1"/>
      </w:pPr>
      <w:r>
        <w:t>Revision History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Version</w:t>
            </w:r>
          </w:p>
        </w:tc>
        <w:tc>
          <w:tcPr>
            <w:tcW w:type="dxa" w:w="2160"/>
          </w:tcPr>
          <w:p>
            <w:r>
              <w:rPr>
                <w:b/>
              </w:rPr>
              <w:t>Date</w:t>
            </w:r>
          </w:p>
        </w:tc>
        <w:tc>
          <w:tcPr>
            <w:tcW w:type="dxa" w:w="2160"/>
          </w:tcPr>
          <w:p>
            <w:r>
              <w:rPr>
                <w:b/>
              </w:rPr>
              <w:t>Author</w:t>
            </w:r>
          </w:p>
        </w:tc>
        <w:tc>
          <w:tcPr>
            <w:tcW w:type="dxa" w:w="2160"/>
          </w:tcPr>
          <w:p>
            <w:r>
              <w:rPr>
                <w:b/>
              </w:rPr>
              <w:t>Description</w:t>
            </w:r>
          </w:p>
        </w:tc>
      </w:tr>
      <w:tr>
        <w:tc>
          <w:tcPr>
            <w:tcW w:type="dxa" w:w="2160"/>
          </w:tcPr>
          <w:p>
            <w:r>
              <w:t>1.0</w:t>
            </w:r>
          </w:p>
        </w:tc>
        <w:tc>
          <w:tcPr>
            <w:tcW w:type="dxa" w:w="2160"/>
          </w:tcPr>
          <w:p>
            <w:r>
              <w:t>October 1, 2026</w:t>
            </w:r>
          </w:p>
        </w:tc>
        <w:tc>
          <w:tcPr>
            <w:tcW w:type="dxa" w:w="2160"/>
          </w:tcPr>
          <w:p>
            <w:r>
              <w:t>Linda Foster</w:t>
            </w:r>
          </w:p>
        </w:tc>
        <w:tc>
          <w:tcPr>
            <w:tcW w:type="dxa" w:w="2160"/>
          </w:tcPr>
          <w:p>
            <w:r>
              <w:t>Initial offboarding protocol for Orrville Medical Associates — closes R-005</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