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Pragmatic GRC™</w:t>
      </w:r>
    </w:p>
    <w:p>
      <w:pPr>
        <w:jc w:val="center"/>
      </w:pPr>
      <w:r>
        <w:rPr>
          <w:b/>
          <w:sz w:val="32"/>
        </w:rPr>
        <w:t>H-005</w:t>
        <w:br/>
        <w:t>New Employee Security Orientation Kit</w:t>
      </w:r>
    </w:p>
    <w:p>
      <w:pPr>
        <w:pStyle w:val="Subtitle"/>
      </w:pPr>
      <w:r>
        <w:t>Human Security Resource | Version 1.0</w:t>
      </w:r>
    </w:p>
    <w:p>
      <w:pPr>
        <w:pStyle w:val="Heading1"/>
      </w:pPr>
      <w:r>
        <w:t>Document Information</w:t>
      </w:r>
    </w:p>
    <w:tbl>
      <w:tblPr>
        <w:tblStyle w:val="TableGrid"/>
        <w:tblW w:type="auto" w:w="0"/>
        <w:tblLook w:firstColumn="1" w:firstRow="1" w:lastColumn="0" w:lastRow="0" w:noHBand="0" w:noVBand="1" w:val="04A0"/>
      </w:tblPr>
      <w:tblGrid>
        <w:gridCol w:w="4320"/>
        <w:gridCol w:w="4320"/>
      </w:tblGrid>
      <w:tr>
        <w:tc>
          <w:tcPr>
            <w:tcW w:type="dxa" w:w="4320"/>
          </w:tcPr>
          <w:p>
            <w:r>
              <w:t>Organization</w:t>
            </w:r>
          </w:p>
        </w:tc>
        <w:tc>
          <w:tcPr>
            <w:tcW w:type="dxa" w:w="4320"/>
          </w:tcPr>
          <w:p>
            <w:r>
              <w:t>Orrville Medical Associates</w:t>
            </w:r>
          </w:p>
        </w:tc>
      </w:tr>
      <w:tr>
        <w:tc>
          <w:tcPr>
            <w:tcW w:type="dxa" w:w="4320"/>
          </w:tcPr>
          <w:p>
            <w:r>
              <w:t>Prepared By</w:t>
            </w:r>
          </w:p>
        </w:tc>
        <w:tc>
          <w:tcPr>
            <w:tcW w:type="dxa" w:w="4320"/>
          </w:tcPr>
          <w:p>
            <w:r>
              <w:t>Linda Foster</w:t>
            </w:r>
          </w:p>
        </w:tc>
      </w:tr>
      <w:tr>
        <w:tc>
          <w:tcPr>
            <w:tcW w:type="dxa" w:w="4320"/>
          </w:tcPr>
          <w:p>
            <w:r>
              <w:t>Approved By</w:t>
            </w:r>
          </w:p>
        </w:tc>
        <w:tc>
          <w:tcPr>
            <w:tcW w:type="dxa" w:w="4320"/>
          </w:tcPr>
          <w:p>
            <w:r>
              <w:t>Dr. Michael Bennett</w:t>
            </w:r>
          </w:p>
        </w:tc>
      </w:tr>
      <w:tr>
        <w:tc>
          <w:tcPr>
            <w:tcW w:type="dxa" w:w="4320"/>
          </w:tcPr>
          <w:p>
            <w:r>
              <w:t>Effective Date</w:t>
            </w:r>
          </w:p>
        </w:tc>
        <w:tc>
          <w:tcPr>
            <w:tcW w:type="dxa" w:w="4320"/>
          </w:tcPr>
          <w:p>
            <w:r>
              <w:t>November 2, 2026</w:t>
            </w:r>
          </w:p>
        </w:tc>
      </w:tr>
      <w:tr>
        <w:tc>
          <w:tcPr>
            <w:tcW w:type="dxa" w:w="4320"/>
          </w:tcPr>
          <w:p>
            <w:r>
              <w:t>Next Review</w:t>
            </w:r>
          </w:p>
        </w:tc>
        <w:tc>
          <w:tcPr>
            <w:tcW w:type="dxa" w:w="4320"/>
          </w:tcPr>
          <w:p>
            <w:r>
              <w:t>November 2027</w:t>
            </w:r>
          </w:p>
        </w:tc>
      </w:tr>
      <w:tr>
        <w:tc>
          <w:tcPr>
            <w:tcW w:type="dxa" w:w="4320"/>
          </w:tcPr>
          <w:p>
            <w:r>
              <w:t>Related Resources</w:t>
            </w:r>
          </w:p>
        </w:tc>
        <w:tc>
          <w:tcPr>
            <w:tcW w:type="dxa" w:w="4320"/>
          </w:tcPr>
          <w:p>
            <w:r>
              <w:t>F-004, C-006, IG-04, G-002</w:t>
            </w:r>
          </w:p>
        </w:tc>
      </w:tr>
    </w:tbl>
    <w:p/>
    <w:p>
      <w:pPr>
        <w:pStyle w:val="Heading1"/>
      </w:pPr>
      <w:r>
        <w:t>Purpose</w:t>
      </w:r>
    </w:p>
    <w:p>
      <w:r>
        <w:rPr>
          <w:b w:val="0"/>
          <w:i w:val="0"/>
        </w:rPr>
        <w:t>Give every new hire at Orrville Medical Associates a consistent, complete security orientation on day one. This record documents the first use of this kit — for Sofia Ramirez, hired as a Scheduling Coordinator to support growing patient volume — and closes a gap flagged in IG-04 (Cultivate Execution Log), which noted no new hires had gone through formal training since the program launched.</w:t>
      </w:r>
    </w:p>
    <w:p>
      <w:pPr>
        <w:pStyle w:val="Heading1"/>
      </w:pPr>
      <w:r>
        <w:t>1. When to Use</w:t>
      </w:r>
    </w:p>
    <w:p>
      <w:r>
        <w:rPr>
          <w:b w:val="0"/>
          <w:i w:val="0"/>
        </w:rPr>
        <w:t>Used for every new employee at Orrville, and again whenever an existing employee changes into a role with different system access.</w:t>
      </w:r>
    </w:p>
    <w:p>
      <w:pPr>
        <w:pStyle w:val="Heading1"/>
      </w:pPr>
      <w:r>
        <w:t>2. Day-One Orientation Checklist</w:t>
      </w:r>
    </w:p>
    <w:tbl>
      <w:tblPr>
        <w:tblStyle w:val="TableGrid"/>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Completed</w:t>
            </w:r>
          </w:p>
        </w:tc>
      </w:tr>
      <w:tr>
        <w:tc>
          <w:tcPr>
            <w:tcW w:type="dxa" w:w="4320"/>
          </w:tcPr>
          <w:p>
            <w:r>
              <w:t>System accounts provisioned</w:t>
            </w:r>
          </w:p>
        </w:tc>
        <w:tc>
          <w:tcPr>
            <w:tcW w:type="dxa" w:w="4320"/>
          </w:tcPr>
          <w:p>
            <w:r>
              <w:t>☑</w:t>
            </w:r>
          </w:p>
        </w:tc>
      </w:tr>
      <w:tr>
        <w:tc>
          <w:tcPr>
            <w:tcW w:type="dxa" w:w="4320"/>
          </w:tcPr>
          <w:p>
            <w:r>
              <w:t>Multi-factor authentication enrolled on all applicable accounts</w:t>
            </w:r>
          </w:p>
        </w:tc>
        <w:tc>
          <w:tcPr>
            <w:tcW w:type="dxa" w:w="4320"/>
          </w:tcPr>
          <w:p>
            <w:r>
              <w:t>☑</w:t>
            </w:r>
          </w:p>
        </w:tc>
      </w:tr>
      <w:tr>
        <w:tc>
          <w:tcPr>
            <w:tcW w:type="dxa" w:w="4320"/>
          </w:tcPr>
          <w:p>
            <w:r>
              <w:t>Company-issued device (workstation) assigned and configured</w:t>
            </w:r>
          </w:p>
        </w:tc>
        <w:tc>
          <w:tcPr>
            <w:tcW w:type="dxa" w:w="4320"/>
          </w:tcPr>
          <w:p>
            <w:r>
              <w:t>☑</w:t>
            </w:r>
          </w:p>
        </w:tc>
      </w:tr>
      <w:tr>
        <w:tc>
          <w:tcPr>
            <w:tcW w:type="dxa" w:w="4320"/>
          </w:tcPr>
          <w:p>
            <w:r>
              <w:t>Acceptable use expectations reviewed</w:t>
            </w:r>
          </w:p>
        </w:tc>
        <w:tc>
          <w:tcPr>
            <w:tcW w:type="dxa" w:w="4320"/>
          </w:tcPr>
          <w:p>
            <w:r>
              <w:t>☑</w:t>
            </w:r>
          </w:p>
        </w:tc>
      </w:tr>
      <w:tr>
        <w:tc>
          <w:tcPr>
            <w:tcW w:type="dxa" w:w="4320"/>
          </w:tcPr>
          <w:p>
            <w:r>
              <w:t>Password requirements reviewed</w:t>
            </w:r>
          </w:p>
        </w:tc>
        <w:tc>
          <w:tcPr>
            <w:tcW w:type="dxa" w:w="4320"/>
          </w:tcPr>
          <w:p>
            <w:r>
              <w:t>☑</w:t>
            </w:r>
          </w:p>
        </w:tc>
      </w:tr>
      <w:tr>
        <w:tc>
          <w:tcPr>
            <w:tcW w:type="dxa" w:w="4320"/>
          </w:tcPr>
          <w:p>
            <w:r>
              <w:t>Data handling expectations reviewed (PHI and patient billing data)</w:t>
            </w:r>
          </w:p>
        </w:tc>
        <w:tc>
          <w:tcPr>
            <w:tcW w:type="dxa" w:w="4320"/>
          </w:tcPr>
          <w:p>
            <w:r>
              <w:t>☑</w:t>
            </w:r>
          </w:p>
        </w:tc>
      </w:tr>
      <w:tr>
        <w:tc>
          <w:tcPr>
            <w:tcW w:type="dxa" w:w="4320"/>
          </w:tcPr>
          <w:p>
            <w:r>
              <w:t>Incident reporting process explained — who to tell, and how fast</w:t>
            </w:r>
          </w:p>
        </w:tc>
        <w:tc>
          <w:tcPr>
            <w:tcW w:type="dxa" w:w="4320"/>
          </w:tcPr>
          <w:p>
            <w:r>
              <w:t>☑</w:t>
            </w:r>
          </w:p>
        </w:tc>
      </w:tr>
      <w:tr>
        <w:tc>
          <w:tcPr>
            <w:tcW w:type="dxa" w:w="4320"/>
          </w:tcPr>
          <w:p>
            <w:r>
              <w:t>Physical security expectations reviewed</w:t>
            </w:r>
          </w:p>
        </w:tc>
        <w:tc>
          <w:tcPr>
            <w:tcW w:type="dxa" w:w="4320"/>
          </w:tcPr>
          <w:p>
            <w:r>
              <w:t>☑</w:t>
            </w:r>
          </w:p>
        </w:tc>
      </w:tr>
      <w:tr>
        <w:tc>
          <w:tcPr>
            <w:tcW w:type="dxa" w:w="4320"/>
          </w:tcPr>
          <w:p>
            <w:r>
              <w:t>Enrolled in the recurring security awareness training program</w:t>
            </w:r>
          </w:p>
        </w:tc>
        <w:tc>
          <w:tcPr>
            <w:tcW w:type="dxa" w:w="4320"/>
          </w:tcPr>
          <w:p>
            <w:r>
              <w:t>☑</w:t>
            </w:r>
          </w:p>
        </w:tc>
      </w:tr>
    </w:tbl>
    <w:p/>
    <w:p>
      <w:pPr>
        <w:pStyle w:val="Heading1"/>
      </w:pPr>
      <w:r>
        <w:t>3. Core Topics Covered</w:t>
      </w:r>
    </w:p>
    <w:tbl>
      <w:tblPr>
        <w:tblStyle w:val="TableGrid"/>
        <w:tblW w:type="auto" w:w="0"/>
        <w:tblLook w:firstColumn="1" w:firstRow="1" w:lastColumn="0" w:lastRow="0" w:noHBand="0" w:noVBand="1" w:val="04A0"/>
      </w:tblPr>
      <w:tblGrid>
        <w:gridCol w:w="4320"/>
        <w:gridCol w:w="4320"/>
      </w:tblGrid>
      <w:tr>
        <w:tc>
          <w:tcPr>
            <w:tcW w:type="dxa" w:w="4320"/>
          </w:tcPr>
          <w:p>
            <w:r>
              <w:rPr>
                <w:b/>
              </w:rPr>
              <w:t>Topic</w:t>
            </w:r>
          </w:p>
        </w:tc>
        <w:tc>
          <w:tcPr>
            <w:tcW w:type="dxa" w:w="4320"/>
          </w:tcPr>
          <w:p>
            <w:r>
              <w:rPr>
                <w:b/>
              </w:rPr>
              <w:t>Key Point Communicated</w:t>
            </w:r>
          </w:p>
        </w:tc>
      </w:tr>
      <w:tr>
        <w:tc>
          <w:tcPr>
            <w:tcW w:type="dxa" w:w="4320"/>
          </w:tcPr>
          <w:p>
            <w:r>
              <w:t>Recognizing phishing</w:t>
            </w:r>
          </w:p>
        </w:tc>
        <w:tc>
          <w:tcPr>
            <w:tcW w:type="dxa" w:w="4320"/>
          </w:tcPr>
          <w:p>
            <w:r>
              <w:t>Reviewed the August 2026 incident as a real example; shown how to report a suspicious email</w:t>
            </w:r>
          </w:p>
        </w:tc>
      </w:tr>
      <w:tr>
        <w:tc>
          <w:tcPr>
            <w:tcW w:type="dxa" w:w="4320"/>
          </w:tcPr>
          <w:p>
            <w:r>
              <w:t>Password &amp; MFA basics</w:t>
            </w:r>
          </w:p>
        </w:tc>
        <w:tc>
          <w:tcPr>
            <w:tcW w:type="dxa" w:w="4320"/>
          </w:tcPr>
          <w:p>
            <w:r>
              <w:t>MFA enrolled on Microsoft 365 and the patient scheduling system during orientation</w:t>
            </w:r>
          </w:p>
        </w:tc>
      </w:tr>
      <w:tr>
        <w:tc>
          <w:tcPr>
            <w:tcW w:type="dxa" w:w="4320"/>
          </w:tcPr>
          <w:p>
            <w:r>
              <w:t>Handling sensitive data</w:t>
            </w:r>
          </w:p>
        </w:tc>
        <w:tc>
          <w:tcPr>
            <w:tcW w:type="dxa" w:w="4320"/>
          </w:tcPr>
          <w:p>
            <w:r>
              <w:t>Reviewed which systems contain PHI and billing data, and the expectation not to share screens or export data</w:t>
            </w:r>
          </w:p>
        </w:tc>
      </w:tr>
      <w:tr>
        <w:tc>
          <w:tcPr>
            <w:tcW w:type="dxa" w:w="4320"/>
          </w:tcPr>
          <w:p>
            <w:r>
              <w:t>Reporting something suspicious</w:t>
            </w:r>
          </w:p>
        </w:tc>
        <w:tc>
          <w:tcPr>
            <w:tcW w:type="dxa" w:w="4320"/>
          </w:tcPr>
          <w:p>
            <w:r>
              <w:t>Directed to notify Linda Foster immediately; shown the escalation path from C-001</w:t>
            </w:r>
          </w:p>
        </w:tc>
      </w:tr>
      <w:tr>
        <w:tc>
          <w:tcPr>
            <w:tcW w:type="dxa" w:w="4320"/>
          </w:tcPr>
          <w:p>
            <w:r>
              <w:t>Physical security</w:t>
            </w:r>
          </w:p>
        </w:tc>
        <w:tc>
          <w:tcPr>
            <w:tcW w:type="dxa" w:w="4320"/>
          </w:tcPr>
          <w:p>
            <w:r>
              <w:t>Reviewed door access, alarm code handling, and visitor/patient check-in privacy expectations (see R-023)</w:t>
            </w:r>
          </w:p>
        </w:tc>
      </w:tr>
    </w:tbl>
    <w:p/>
    <w:p>
      <w:pPr>
        <w:pStyle w:val="Heading1"/>
      </w:pPr>
      <w:r>
        <w:t>4. New Hire Acknowledgment</w:t>
      </w:r>
    </w:p>
    <w:p>
      <w:r>
        <w:rPr>
          <w:b w:val="0"/>
          <w:i/>
        </w:rPr>
        <w:t>I confirm that I have received this orientation and understand my security responsibilities as described.</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Employee Name</w:t>
            </w:r>
          </w:p>
        </w:tc>
        <w:tc>
          <w:tcPr>
            <w:tcW w:type="dxa" w:w="2880"/>
          </w:tcPr>
          <w:p>
            <w:r>
              <w:rPr>
                <w:b/>
              </w:rPr>
              <w:t>Signature</w:t>
            </w:r>
          </w:p>
        </w:tc>
        <w:tc>
          <w:tcPr>
            <w:tcW w:type="dxa" w:w="2880"/>
          </w:tcPr>
          <w:p>
            <w:r>
              <w:rPr>
                <w:b/>
              </w:rPr>
              <w:t>Date</w:t>
            </w:r>
          </w:p>
        </w:tc>
      </w:tr>
      <w:tr>
        <w:tc>
          <w:tcPr>
            <w:tcW w:type="dxa" w:w="2880"/>
          </w:tcPr>
          <w:p>
            <w:r>
              <w:t>Sofia Ramirez</w:t>
            </w:r>
          </w:p>
        </w:tc>
        <w:tc>
          <w:tcPr>
            <w:tcW w:type="dxa" w:w="2880"/>
          </w:tcPr>
          <w:p>
            <w:r>
              <w:t>[Signed]</w:t>
            </w:r>
          </w:p>
        </w:tc>
        <w:tc>
          <w:tcPr>
            <w:tcW w:type="dxa" w:w="2880"/>
          </w:tcPr>
          <w:p>
            <w:r>
              <w:t>November 2, 2026</w:t>
            </w:r>
          </w:p>
        </w:tc>
      </w:tr>
    </w:tbl>
    <w:p/>
    <w:p>
      <w:pPr>
        <w:pStyle w:val="Heading1"/>
      </w:pPr>
      <w:r>
        <w:t>5. Onboarding Owner Sign-Off</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Completed By</w:t>
            </w:r>
          </w:p>
        </w:tc>
        <w:tc>
          <w:tcPr>
            <w:tcW w:type="dxa" w:w="2880"/>
          </w:tcPr>
          <w:p>
            <w:r>
              <w:rPr>
                <w:b/>
              </w:rPr>
              <w:t>Role</w:t>
            </w:r>
          </w:p>
        </w:tc>
        <w:tc>
          <w:tcPr>
            <w:tcW w:type="dxa" w:w="2880"/>
          </w:tcPr>
          <w:p>
            <w:r>
              <w:rPr>
                <w:b/>
              </w:rPr>
              <w:t>Date</w:t>
            </w:r>
          </w:p>
        </w:tc>
      </w:tr>
      <w:tr>
        <w:tc>
          <w:tcPr>
            <w:tcW w:type="dxa" w:w="2880"/>
          </w:tcPr>
          <w:p>
            <w:r>
              <w:t>Linda Foster</w:t>
            </w:r>
          </w:p>
        </w:tc>
        <w:tc>
          <w:tcPr>
            <w:tcW w:type="dxa" w:w="2880"/>
          </w:tcPr>
          <w:p>
            <w:r>
              <w:t>Business Owner / Program Administrator</w:t>
            </w:r>
          </w:p>
        </w:tc>
        <w:tc>
          <w:tcPr>
            <w:tcW w:type="dxa" w:w="2880"/>
          </w:tcPr>
          <w:p>
            <w:r>
              <w:t>November 2, 2026</w:t>
            </w:r>
          </w:p>
        </w:tc>
      </w:tr>
    </w:tbl>
    <w:p/>
    <w:p>
      <w:pPr>
        <w:pStyle w:val="Heading1"/>
      </w:pPr>
      <w:r>
        <w:t>Small Business Adaptation</w:t>
      </w:r>
    </w:p>
    <w:p>
      <w:r>
        <w:rPr>
          <w:b w:val="0"/>
          <w:i w:val="0"/>
        </w:rPr>
        <w:t>This was a 20-minute conversation between Linda Foster and Sofia on her first morning, backed by this checklist. No formal HR onboarding software was used. This orientation will be reported in the next Monthly GRC Heartbeat™ as the practice's first completed new-hire security orientation — resolving the open item flagged in IG-04.</w:t>
      </w:r>
    </w:p>
    <w:p>
      <w:r>
        <w:rPr>
          <w:b/>
        </w:rPr>
        <w:t xml:space="preserve">🔗 Related Resources: </w:t>
      </w:r>
      <w:r>
        <w:t>F-004 Governance Roles &amp; Responsibilities • C-006 Identity Offboarding Protocol • IG-04 Cultivate Execution Log • G-002 Monthly GRC Heartbeat™ Checklist</w:t>
      </w:r>
    </w:p>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Version</w:t>
            </w:r>
          </w:p>
        </w:tc>
        <w:tc>
          <w:tcPr>
            <w:tcW w:type="dxa" w:w="2160"/>
          </w:tcPr>
          <w:p>
            <w:r>
              <w:rPr>
                <w:b/>
              </w:rPr>
              <w:t>Date</w:t>
            </w:r>
          </w:p>
        </w:tc>
        <w:tc>
          <w:tcPr>
            <w:tcW w:type="dxa" w:w="2160"/>
          </w:tcPr>
          <w:p>
            <w:r>
              <w:rPr>
                <w:b/>
              </w:rPr>
              <w:t>Author</w:t>
            </w:r>
          </w:p>
        </w:tc>
        <w:tc>
          <w:tcPr>
            <w:tcW w:type="dxa" w:w="2160"/>
          </w:tcPr>
          <w:p>
            <w:r>
              <w:rPr>
                <w:b/>
              </w:rPr>
              <w:t>Description</w:t>
            </w:r>
          </w:p>
        </w:tc>
      </w:tr>
      <w:tr>
        <w:tc>
          <w:tcPr>
            <w:tcW w:type="dxa" w:w="2160"/>
          </w:tcPr>
          <w:p>
            <w:r>
              <w:t>1.0</w:t>
            </w:r>
          </w:p>
        </w:tc>
        <w:tc>
          <w:tcPr>
            <w:tcW w:type="dxa" w:w="2160"/>
          </w:tcPr>
          <w:p>
            <w:r>
              <w:t>November 2, 2026</w:t>
            </w:r>
          </w:p>
        </w:tc>
        <w:tc>
          <w:tcPr>
            <w:tcW w:type="dxa" w:w="2160"/>
          </w:tcPr>
          <w:p>
            <w:r>
              <w:t>Linda Foster</w:t>
            </w:r>
          </w:p>
        </w:tc>
        <w:tc>
          <w:tcPr>
            <w:tcW w:type="dxa" w:w="2160"/>
          </w:tcPr>
          <w:p>
            <w:r>
              <w:t>First completed orientation — Sofia Ramirez, Scheduling Coordinator</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