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IG-01</w:t>
        <w:br/>
        <w:t>Navigate Implementation Guide — Execution Log</w:t>
      </w:r>
    </w:p>
    <w:p>
      <w:pPr>
        <w:jc w:val="center"/>
      </w:pPr>
      <w:r>
        <w:rPr>
          <w:i/>
        </w:rPr>
        <w:t>Operational Record | Based on Chapter 8.2, The Four Implementation Guides</w:t>
      </w:r>
    </w:p>
    <w:p>
      <w:pPr>
        <w:jc w:val="center"/>
      </w:pPr>
      <w:r>
        <w:rPr>
          <w:i/>
          <w:sz w:val="20"/>
        </w:rPr>
        <w:t>Establish operational visibility and governance.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>
              <w:t>Dr. Michael Bennett</w:t>
            </w:r>
          </w:p>
        </w:tc>
      </w:tr>
      <w:tr>
        <w:tc>
          <w:tcPr>
            <w:tcW w:type="dxa" w:w="4320"/>
          </w:tcPr>
          <w:p>
            <w:r>
              <w:t>Primary Living Document Supported</w:t>
            </w:r>
          </w:p>
        </w:tc>
        <w:tc>
          <w:tcPr>
            <w:tcW w:type="dxa" w:w="4320"/>
          </w:tcPr>
          <w:p>
            <w:r>
              <w:t>F-001 Master Asset Register</w:t>
            </w:r>
          </w:p>
        </w:tc>
      </w:tr>
      <w:tr>
        <w:tc>
          <w:tcPr>
            <w:tcW w:type="dxa" w:w="4320"/>
          </w:tcPr>
          <w:p>
            <w:r>
              <w:t>Period Covered</w:t>
            </w:r>
          </w:p>
        </w:tc>
        <w:tc>
          <w:tcPr>
            <w:tcW w:type="dxa" w:w="4320"/>
          </w:tcPr>
          <w:p>
            <w:r>
              <w:t>July 1, 2026 – August 15, 2026</w:t>
            </w:r>
          </w:p>
        </w:tc>
      </w:tr>
      <w:tr>
        <w:tc>
          <w:tcPr>
            <w:tcW w:type="dxa" w:w="4320"/>
          </w:tcPr>
          <w:p>
            <w:r>
              <w:t>Next Scheduled Use</w:t>
            </w:r>
          </w:p>
        </w:tc>
        <w:tc>
          <w:tcPr>
            <w:tcW w:type="dxa" w:w="4320"/>
          </w:tcPr>
          <w:p>
            <w:r>
              <w:t>Ongoing; reinforced monthly via G-002, Section 2</w:t>
            </w:r>
          </w:p>
        </w:tc>
      </w:tr>
    </w:tbl>
    <w:p/>
    <w:p>
      <w:pPr>
        <w:pStyle w:val="Heading1"/>
      </w:pPr>
      <w:r>
        <w:t>1. Trigger for This Cycle</w:t>
      </w:r>
    </w:p>
    <w:p>
      <w:r>
        <w:rPr>
          <w:b w:val="0"/>
          <w:i w:val="0"/>
        </w:rPr>
        <w:t>Two events triggered Navigate this cycle: (1) standing up the practice's GRC program required a full asset discovery and inventory baseline, and (2) a follow-up review in August 2026, prompted by a case study on domain expiration risk, surfaced a previously untracked asset — the practice's own domain name.</w:t>
      </w:r>
    </w:p>
    <w:p>
      <w:pPr>
        <w:pStyle w:val="Heading1"/>
      </w:pPr>
      <w:r>
        <w:t>2. Primary Objective</w:t>
      </w:r>
    </w:p>
    <w:p>
      <w:r>
        <w:rPr>
          <w:b w:val="0"/>
          <w:i/>
        </w:rPr>
        <w:t>Maintain complete visibility into your technology, data, vendors, and business systems.</w:t>
      </w:r>
    </w:p>
    <w:p>
      <w:pPr>
        <w:pStyle w:val="Heading1"/>
      </w:pPr>
      <w:r>
        <w:t>3. Key Tasks Addressed This Cycle</w:t>
      </w:r>
    </w:p>
    <w:p>
      <w:r>
        <w:t>☑ Constant asset discovery, network sweeps, and live inventory validation</w:t>
      </w:r>
    </w:p>
    <w:p>
      <w:r>
        <w:t>☑ Rigorous data classification mappings (Public vs. Internal vs. Confidential)</w:t>
      </w:r>
    </w:p>
    <w:p>
      <w:r>
        <w:t>☑ Rapid identification and elimination of vendor lock-in and shadow IT platforms</w:t>
      </w:r>
    </w:p>
    <w:p>
      <w:r>
        <w:t>☑ Maintaining sovereign, internal control over root administrative keys and corporate registrar credentials</w:t>
      </w:r>
    </w:p>
    <w:p/>
    <w:p>
      <w:pPr>
        <w:pStyle w:val="Heading1"/>
      </w:pPr>
      <w:r>
        <w:t>4. Participants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Involvement</w:t>
            </w:r>
          </w:p>
        </w:tc>
      </w:tr>
      <w:tr>
        <w:tc>
          <w:tcPr>
            <w:tcW w:type="dxa" w:w="2880"/>
          </w:tcPr>
          <w:p>
            <w:r>
              <w:t>Dr. Michael Bennett</w:t>
            </w:r>
          </w:p>
        </w:tc>
        <w:tc>
          <w:tcPr>
            <w:tcW w:type="dxa" w:w="2880"/>
          </w:tcPr>
          <w:p>
            <w:r>
              <w:t>Business Owner (Primary)</w:t>
            </w:r>
          </w:p>
        </w:tc>
        <w:tc>
          <w:tcPr>
            <w:tcW w:type="dxa" w:w="2880"/>
          </w:tcPr>
          <w:p>
            <w:r>
              <w:t>Approved final asset classifications for clinical systems</w:t>
            </w:r>
          </w:p>
        </w:tc>
      </w:tr>
      <w:tr>
        <w:tc>
          <w:tcPr>
            <w:tcW w:type="dxa" w:w="2880"/>
          </w:tcPr>
          <w:p>
            <w:r>
              <w:t>Linda Foster</w:t>
            </w:r>
          </w:p>
        </w:tc>
        <w:tc>
          <w:tcPr>
            <w:tcW w:type="dxa" w:w="2880"/>
          </w:tcPr>
          <w:p>
            <w:r>
              <w:t>Operations Manager (Primary)</w:t>
            </w:r>
          </w:p>
        </w:tc>
        <w:tc>
          <w:tcPr>
            <w:tcW w:type="dxa" w:w="2880"/>
          </w:tcPr>
          <w:p>
            <w:r>
              <w:t>Led inventory discovery and maintains F-001</w:t>
            </w:r>
          </w:p>
        </w:tc>
      </w:tr>
      <w:tr>
        <w:tc>
          <w:tcPr>
            <w:tcW w:type="dxa" w:w="2880"/>
          </w:tcPr>
          <w:p>
            <w:r>
              <w:t>Summit IT Partners</w:t>
            </w:r>
          </w:p>
        </w:tc>
        <w:tc>
          <w:tcPr>
            <w:tcW w:type="dxa" w:w="2880"/>
          </w:tcPr>
          <w:p>
            <w:r>
              <w:t>MSP (Supporting)</w:t>
            </w:r>
          </w:p>
        </w:tc>
        <w:tc>
          <w:tcPr>
            <w:tcW w:type="dxa" w:w="2880"/>
          </w:tcPr>
          <w:p>
            <w:r>
              <w:t>Provided technical inventory of network devices, endpoints, and cloud tenant configuration</w:t>
            </w:r>
          </w:p>
        </w:tc>
      </w:tr>
      <w:tr>
        <w:tc>
          <w:tcPr>
            <w:tcW w:type="dxa" w:w="2880"/>
          </w:tcPr>
          <w:p>
            <w:r>
              <w:t>Dr. Sarah Whitfield, Amanda Cole PA-C, David Nguyen PA-C</w:t>
            </w:r>
          </w:p>
        </w:tc>
        <w:tc>
          <w:tcPr>
            <w:tcW w:type="dxa" w:w="2880"/>
          </w:tcPr>
          <w:p>
            <w:r>
              <w:t>Department Representatives (Supporting)</w:t>
            </w:r>
          </w:p>
        </w:tc>
        <w:tc>
          <w:tcPr>
            <w:tcW w:type="dxa" w:w="2880"/>
          </w:tcPr>
          <w:p>
            <w:r>
              <w:t>Confirmed clinical device and application usage</w:t>
            </w:r>
          </w:p>
        </w:tc>
      </w:tr>
    </w:tbl>
    <w:p/>
    <w:p>
      <w:pPr>
        <w:pStyle w:val="Heading1"/>
      </w:pPr>
      <w:r>
        <w:t>5. Actions Taken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2160"/>
          </w:tcPr>
          <w:p>
            <w:r>
              <w:t>07/01/2026</w:t>
            </w:r>
          </w:p>
        </w:tc>
        <w:tc>
          <w:tcPr>
            <w:tcW w:type="dxa" w:w="2160"/>
          </w:tcPr>
          <w:p>
            <w:r>
              <w:t>Conducted full technology and vendor discovery across clinical and administrative operations</w:t>
            </w:r>
          </w:p>
        </w:tc>
        <w:tc>
          <w:tcPr>
            <w:tcW w:type="dxa" w:w="2160"/>
          </w:tcPr>
          <w:p>
            <w:r>
              <w:t>Linda Foster / Summit IT Partners</w:t>
            </w:r>
          </w:p>
        </w:tc>
        <w:tc>
          <w:tcPr>
            <w:tcW w:type="dxa" w:w="2160"/>
          </w:tcPr>
          <w:p>
            <w:r>
              <w:t>26 assets documented in F-001</w:t>
            </w:r>
          </w:p>
        </w:tc>
      </w:tr>
      <w:tr>
        <w:tc>
          <w:tcPr>
            <w:tcW w:type="dxa" w:w="2160"/>
          </w:tcPr>
          <w:p>
            <w:r>
              <w:t>07/01/2026</w:t>
            </w:r>
          </w:p>
        </w:tc>
        <w:tc>
          <w:tcPr>
            <w:tcW w:type="dxa" w:w="2160"/>
          </w:tcPr>
          <w:p>
            <w:r>
              <w:t>Classified data assets by sensitivity (PHI, financial, operational)</w:t>
            </w:r>
          </w:p>
        </w:tc>
        <w:tc>
          <w:tcPr>
            <w:tcW w:type="dxa" w:w="2160"/>
          </w:tcPr>
          <w:p>
            <w:r>
              <w:t>Dr. Michael Bennett / Linda Foster</w:t>
            </w:r>
          </w:p>
        </w:tc>
        <w:tc>
          <w:tcPr>
            <w:tcW w:type="dxa" w:w="2160"/>
          </w:tcPr>
          <w:p>
            <w:r>
              <w:t>Confidentiality ratings assigned in F-001</w:t>
            </w:r>
          </w:p>
        </w:tc>
      </w:tr>
      <w:tr>
        <w:tc>
          <w:tcPr>
            <w:tcW w:type="dxa" w:w="2160"/>
          </w:tcPr>
          <w:p>
            <w:r>
              <w:t>08/15/2026</w:t>
            </w:r>
          </w:p>
        </w:tc>
        <w:tc>
          <w:tcPr>
            <w:tcW w:type="dxa" w:w="2160"/>
          </w:tcPr>
          <w:p>
            <w:r>
              <w:t>Reviewed a real-world case study on domain expiration risk during a governance discussion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Identified that the practice domain name was not tracked as an asset</w:t>
            </w:r>
          </w:p>
        </w:tc>
      </w:tr>
      <w:tr>
        <w:tc>
          <w:tcPr>
            <w:tcW w:type="dxa" w:w="2160"/>
          </w:tcPr>
          <w:p>
            <w:r>
              <w:t>08/15/2026</w:t>
            </w:r>
          </w:p>
        </w:tc>
        <w:tc>
          <w:tcPr>
            <w:tcW w:type="dxa" w:w="2160"/>
          </w:tcPr>
          <w:p>
            <w:r>
              <w:t>Confirmed registrar access and ownership; added asset to inventory</w:t>
            </w:r>
          </w:p>
        </w:tc>
        <w:tc>
          <w:tcPr>
            <w:tcW w:type="dxa" w:w="2160"/>
          </w:tcPr>
          <w:p>
            <w:r>
              <w:t>Linda Foster / Summit IT Partners</w:t>
            </w:r>
          </w:p>
        </w:tc>
        <w:tc>
          <w:tcPr>
            <w:tcW w:type="dxa" w:w="2160"/>
          </w:tcPr>
          <w:p>
            <w:r>
              <w:t>A-027 added to F-001; R-019 opened in R-003</w:t>
            </w:r>
          </w:p>
        </w:tc>
      </w:tr>
    </w:tbl>
    <w:p/>
    <w:p>
      <w:pPr>
        <w:pStyle w:val="Heading1"/>
      </w:pPr>
      <w:r>
        <w:t>6. Deliverables Produced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880"/>
          </w:tcPr>
          <w:p>
            <w:r>
              <w:t>Updated Master Asset Register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(30 assets)</w:t>
            </w:r>
          </w:p>
        </w:tc>
      </w:tr>
      <w:tr>
        <w:tc>
          <w:tcPr>
            <w:tcW w:type="dxa" w:w="2880"/>
          </w:tcPr>
          <w:p>
            <w:r>
              <w:t>Complete Software Inventory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(Cloud Service &amp; Software categories)</w:t>
            </w:r>
          </w:p>
        </w:tc>
      </w:tr>
      <w:tr>
        <w:tc>
          <w:tcPr>
            <w:tcW w:type="dxa" w:w="2880"/>
          </w:tcPr>
          <w:p>
            <w:r>
              <w:t>Vendor Inventory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(Vendor category) + F-002 Vendor Security table</w:t>
            </w:r>
          </w:p>
        </w:tc>
      </w:tr>
      <w:tr>
        <w:tc>
          <w:tcPr>
            <w:tcW w:type="dxa" w:w="2880"/>
          </w:tcPr>
          <w:p>
            <w:r>
              <w:t>Business Process Inventory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(Business Process column)</w:t>
            </w:r>
          </w:p>
        </w:tc>
      </w:tr>
      <w:tr>
        <w:tc>
          <w:tcPr>
            <w:tcW w:type="dxa" w:w="2880"/>
          </w:tcPr>
          <w:p>
            <w:r>
              <w:t>Asset Owners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(Business Owner / Technical Owner columns)</w:t>
            </w:r>
          </w:p>
        </w:tc>
      </w:tr>
      <w:tr>
        <w:tc>
          <w:tcPr>
            <w:tcW w:type="dxa" w:w="2880"/>
          </w:tcPr>
          <w:p>
            <w:r>
              <w:t>Critical Asset Classification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F-001 (Criticality column)</w:t>
            </w:r>
          </w:p>
        </w:tc>
      </w:tr>
    </w:tbl>
    <w:p/>
    <w:p>
      <w:pPr>
        <w:pStyle w:val="Heading1"/>
      </w:pPr>
      <w:r>
        <w:t>7. Common Mistakes Checked Against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Mistake to Avoid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Present?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Forgetting cloud applications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All SaaS systems (EHR, scheduling, billing, portal) documented</w:t>
            </w:r>
          </w:p>
        </w:tc>
      </w:tr>
      <w:tr>
        <w:tc>
          <w:tcPr>
            <w:tcW w:type="dxa" w:w="2880"/>
          </w:tcPr>
          <w:p>
            <w:r>
              <w:t>Ignoring SaaS subscriptions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Confirmed during discovery</w:t>
            </w:r>
          </w:p>
        </w:tc>
      </w:tr>
      <w:tr>
        <w:tc>
          <w:tcPr>
            <w:tcW w:type="dxa" w:w="2880"/>
          </w:tcPr>
          <w:p>
            <w:r>
              <w:t>Not assigning ownership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Every asset has a Business Owner and Technical Owner</w:t>
            </w:r>
          </w:p>
        </w:tc>
      </w:tr>
      <w:tr>
        <w:tc>
          <w:tcPr>
            <w:tcW w:type="dxa" w:w="2880"/>
          </w:tcPr>
          <w:p>
            <w:r>
              <w:t>Treating the inventory as a one-time exercise</w:t>
            </w:r>
          </w:p>
        </w:tc>
        <w:tc>
          <w:tcPr>
            <w:tcW w:type="dxa" w:w="2880"/>
          </w:tcPr>
          <w:p>
            <w:r>
              <w:t>Partially Present</w:t>
            </w:r>
          </w:p>
        </w:tc>
        <w:tc>
          <w:tcPr>
            <w:tcW w:type="dxa" w:w="2880"/>
          </w:tcPr>
          <w:p>
            <w:r>
              <w:t>Addressed by adding the domain name mid-cycle; recurring review now reinforced via G-002</w:t>
            </w:r>
          </w:p>
        </w:tc>
      </w:tr>
    </w:tbl>
    <w:p/>
    <w:p>
      <w:pPr>
        <w:pStyle w:val="Heading1"/>
      </w:pPr>
      <w:r>
        <w:t>8. Success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Every business-critical asset has an owner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Every critical vendor is documented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Every business system appears in the Asset Register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Leadership can answer “What do we own and what depends on it?”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9. Next Steps / Carry-Forward Items</w:t>
      </w:r>
    </w:p>
    <w:p>
      <w:r>
        <w:rPr>
          <w:b w:val="0"/>
          <w:i w:val="0"/>
        </w:rPr>
        <w:t>Continue the monthly asset review via G-002, Section 2, to catch gaps like the domain name before they become incidents.</w:t>
      </w:r>
    </w:p>
    <w:p>
      <w:pPr>
        <w:pStyle w:val="Heading1"/>
      </w:pPr>
      <w:r>
        <w:t>Related Pragmatic GRC™ Resources</w:t>
      </w:r>
    </w:p>
    <w:p>
      <w:r>
        <w:t>• F-001 Master Asset Register</w:t>
      </w:r>
    </w:p>
    <w:p>
      <w:r>
        <w:t>• R-003 Risk Assessment Worksheet</w:t>
      </w:r>
    </w:p>
    <w:p>
      <w:r>
        <w:t>• F-002 Unified System Security Plan</w:t>
      </w:r>
    </w:p>
    <w:p>
      <w:r>
        <w:t>• G-002 Monthly GRC Heartbeat™ 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