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Pragmatic GRC™</w:t>
      </w:r>
    </w:p>
    <w:p>
      <w:pPr>
        <w:jc w:val="center"/>
      </w:pPr>
      <w:r>
        <w:rPr>
          <w:b/>
          <w:sz w:val="32"/>
        </w:rPr>
        <w:t>IG-03</w:t>
        <w:br/>
        <w:t>Sustain Implementation Guide — Execution Log</w:t>
      </w:r>
    </w:p>
    <w:p>
      <w:pPr>
        <w:jc w:val="center"/>
      </w:pPr>
      <w:r>
        <w:rPr>
          <w:i/>
        </w:rPr>
        <w:t>Operational Record | Based on Chapter 8.2, The Four Implementation Guides</w:t>
      </w:r>
    </w:p>
    <w:p>
      <w:pPr>
        <w:jc w:val="center"/>
      </w:pPr>
      <w:r>
        <w:rPr>
          <w:i/>
          <w:sz w:val="20"/>
        </w:rPr>
        <w:t>Manage risk and build operational resilience.</w:t>
      </w:r>
    </w:p>
    <w:p>
      <w:pPr>
        <w:pStyle w:val="Heading1"/>
      </w:pPr>
      <w:r>
        <w:t>Document Information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Organization</w:t>
            </w:r>
          </w:p>
        </w:tc>
        <w:tc>
          <w:tcPr>
            <w:tcW w:type="dxa" w:w="4320"/>
          </w:tcPr>
          <w:p>
            <w:r>
              <w:t>Orrville Medical Associates</w:t>
            </w:r>
          </w:p>
        </w:tc>
      </w:tr>
      <w:tr>
        <w:tc>
          <w:tcPr>
            <w:tcW w:type="dxa" w:w="4320"/>
          </w:tcPr>
          <w:p>
            <w:r>
              <w:t>Prepared By</w:t>
            </w:r>
          </w:p>
        </w:tc>
        <w:tc>
          <w:tcPr>
            <w:tcW w:type="dxa" w:w="4320"/>
          </w:tcPr>
          <w:p>
            <w:r>
              <w:t>Linda Foster</w:t>
            </w:r>
          </w:p>
        </w:tc>
      </w:tr>
      <w:tr>
        <w:tc>
          <w:tcPr>
            <w:tcW w:type="dxa" w:w="4320"/>
          </w:tcPr>
          <w:p>
            <w:r>
              <w:t>Approved By</w:t>
            </w:r>
          </w:p>
        </w:tc>
        <w:tc>
          <w:tcPr>
            <w:tcW w:type="dxa" w:w="4320"/>
          </w:tcPr>
          <w:p>
            <w:r>
              <w:t>Dr. Michael Bennett</w:t>
            </w:r>
          </w:p>
        </w:tc>
      </w:tr>
      <w:tr>
        <w:tc>
          <w:tcPr>
            <w:tcW w:type="dxa" w:w="4320"/>
          </w:tcPr>
          <w:p>
            <w:r>
              <w:t>Primary Living Document Supported</w:t>
            </w:r>
          </w:p>
        </w:tc>
        <w:tc>
          <w:tcPr>
            <w:tcW w:type="dxa" w:w="4320"/>
          </w:tcPr>
          <w:p>
            <w:r>
              <w:t>R-003 Enterprise Risk Register</w:t>
            </w:r>
          </w:p>
        </w:tc>
      </w:tr>
      <w:tr>
        <w:tc>
          <w:tcPr>
            <w:tcW w:type="dxa" w:w="4320"/>
          </w:tcPr>
          <w:p>
            <w:r>
              <w:t>Period Covered</w:t>
            </w:r>
          </w:p>
        </w:tc>
        <w:tc>
          <w:tcPr>
            <w:tcW w:type="dxa" w:w="4320"/>
          </w:tcPr>
          <w:p>
            <w:r>
              <w:t>August 12, 2026 – September 15, 2026</w:t>
            </w:r>
          </w:p>
        </w:tc>
      </w:tr>
      <w:tr>
        <w:tc>
          <w:tcPr>
            <w:tcW w:type="dxa" w:w="4320"/>
          </w:tcPr>
          <w:p>
            <w:r>
              <w:t>Next Scheduled Use</w:t>
            </w:r>
          </w:p>
        </w:tc>
        <w:tc>
          <w:tcPr>
            <w:tcW w:type="dxa" w:w="4320"/>
          </w:tcPr>
          <w:p>
            <w:r>
              <w:t>Next incident, or the annual BC/DR exercise</w:t>
            </w:r>
          </w:p>
        </w:tc>
      </w:tr>
    </w:tbl>
    <w:p/>
    <w:p>
      <w:pPr>
        <w:pStyle w:val="Heading1"/>
      </w:pPr>
      <w:r>
        <w:t>1. Trigger for This Cycle</w:t>
      </w:r>
    </w:p>
    <w:p>
      <w:r>
        <w:rPr>
          <w:b w:val="0"/>
          <w:i w:val="0"/>
        </w:rPr>
        <w:t>The phishing incident (C-001) activated incident response procedures. Separately, this cycle also completed the annual backup restoration test that had been an open action item since the initial risk assessment (R-013).</w:t>
      </w:r>
    </w:p>
    <w:p>
      <w:pPr>
        <w:pStyle w:val="Heading1"/>
      </w:pPr>
      <w:r>
        <w:t>2. Primary Objective</w:t>
      </w:r>
    </w:p>
    <w:p>
      <w:r>
        <w:rPr>
          <w:b w:val="0"/>
          <w:i/>
        </w:rPr>
        <w:t>Orchestrate active risk treatment, maintain business continuity, run disaster recovery pipelines, and fire incident response protocols.</w:t>
      </w:r>
    </w:p>
    <w:p>
      <w:pPr>
        <w:pStyle w:val="Heading1"/>
      </w:pPr>
      <w:r>
        <w:t>3. Key Tasks Addressed This Cycle</w:t>
      </w:r>
    </w:p>
    <w:p>
      <w:r>
        <w:t>☑ Immediate real-time triage, containment, and eradication of active security incidents</w:t>
      </w:r>
    </w:p>
    <w:p>
      <w:r>
        <w:t>☑ Executing independent backup data restoration validation and live data integrity tests</w:t>
      </w:r>
    </w:p>
    <w:p>
      <w:r>
        <w:t>☐ Activating alternative, manual operational workarounds during payment gateway or cloud platform drops</w:t>
      </w:r>
    </w:p>
    <w:p>
      <w:r>
        <w:t>☑ Driving the risk burn-down milestones and mitigation tracks managed on the executive dashboard</w:t>
      </w:r>
    </w:p>
    <w:p/>
    <w:p>
      <w:pPr>
        <w:pStyle w:val="Heading1"/>
      </w:pPr>
      <w:r>
        <w:t>4. Participants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Name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Role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Involvement</w:t>
            </w:r>
          </w:p>
        </w:tc>
      </w:tr>
      <w:tr>
        <w:tc>
          <w:tcPr>
            <w:tcW w:type="dxa" w:w="2880"/>
          </w:tcPr>
          <w:p>
            <w:r>
              <w:t>Dr. Michael Bennett</w:t>
            </w:r>
          </w:p>
        </w:tc>
        <w:tc>
          <w:tcPr>
            <w:tcW w:type="dxa" w:w="2880"/>
          </w:tcPr>
          <w:p>
            <w:r>
              <w:t>Business Owner (Primary)</w:t>
            </w:r>
          </w:p>
        </w:tc>
        <w:tc>
          <w:tcPr>
            <w:tcW w:type="dxa" w:w="2880"/>
          </w:tcPr>
          <w:p>
            <w:r>
              <w:t>Directed incident response priorities</w:t>
            </w:r>
          </w:p>
        </w:tc>
      </w:tr>
      <w:tr>
        <w:tc>
          <w:tcPr>
            <w:tcW w:type="dxa" w:w="2880"/>
          </w:tcPr>
          <w:p>
            <w:r>
              <w:t>Linda Foster</w:t>
            </w:r>
          </w:p>
        </w:tc>
        <w:tc>
          <w:tcPr>
            <w:tcW w:type="dxa" w:w="2880"/>
          </w:tcPr>
          <w:p>
            <w:r>
              <w:t>Operations Manager (Primary)</w:t>
            </w:r>
          </w:p>
        </w:tc>
        <w:tc>
          <w:tcPr>
            <w:tcW w:type="dxa" w:w="2880"/>
          </w:tcPr>
          <w:p>
            <w:r>
              <w:t>Coordinated recovery and backup test logistics</w:t>
            </w:r>
          </w:p>
        </w:tc>
      </w:tr>
      <w:tr>
        <w:tc>
          <w:tcPr>
            <w:tcW w:type="dxa" w:w="2880"/>
          </w:tcPr>
          <w:p>
            <w:r>
              <w:t>Summit IT Partners</w:t>
            </w:r>
          </w:p>
        </w:tc>
        <w:tc>
          <w:tcPr>
            <w:tcW w:type="dxa" w:w="2880"/>
          </w:tcPr>
          <w:p>
            <w:r>
              <w:t>MSP (Supporting)</w:t>
            </w:r>
          </w:p>
        </w:tc>
        <w:tc>
          <w:tcPr>
            <w:tcW w:type="dxa" w:w="2880"/>
          </w:tcPr>
          <w:p>
            <w:r>
              <w:t>Executed technical containment and the backup restoration test</w:t>
            </w:r>
          </w:p>
        </w:tc>
      </w:tr>
    </w:tbl>
    <w:p/>
    <w:p>
      <w:pPr>
        <w:pStyle w:val="Heading1"/>
      </w:pPr>
      <w:r>
        <w:t>5. Actions Taken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Date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Action</w:t>
            </w:r>
          </w:p>
        </w:tc>
        <w:tc>
          <w:tcPr>
            <w:tcW w:type="dxa" w:w="2160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2160"/>
          </w:tcPr>
          <w:p>
            <w:r>
              <w:rPr>
                <w:b/>
              </w:rPr>
              <w:t>Outcome</w:t>
            </w:r>
          </w:p>
        </w:tc>
      </w:tr>
      <w:tr>
        <w:tc>
          <w:tcPr>
            <w:tcW w:type="dxa" w:w="2160"/>
          </w:tcPr>
          <w:p>
            <w:r>
              <w:t>08/12/2026</w:t>
            </w:r>
          </w:p>
        </w:tc>
        <w:tc>
          <w:tcPr>
            <w:tcW w:type="dxa" w:w="2160"/>
          </w:tcPr>
          <w:p>
            <w:r>
              <w:t>Executed the incident response playbook for the phishing incident</w:t>
            </w:r>
          </w:p>
        </w:tc>
        <w:tc>
          <w:tcPr>
            <w:tcW w:type="dxa" w:w="2160"/>
          </w:tcPr>
          <w:p>
            <w:r>
              <w:t>Linda Foster / Summit IT Partners</w:t>
            </w:r>
          </w:p>
        </w:tc>
        <w:tc>
          <w:tcPr>
            <w:tcW w:type="dxa" w:w="2160"/>
          </w:tcPr>
          <w:p>
            <w:r>
              <w:t>See C-001 for the full record</w:t>
            </w:r>
          </w:p>
        </w:tc>
      </w:tr>
      <w:tr>
        <w:tc>
          <w:tcPr>
            <w:tcW w:type="dxa" w:w="2160"/>
          </w:tcPr>
          <w:p>
            <w:r>
              <w:t>08/13/2026</w:t>
            </w:r>
          </w:p>
        </w:tc>
        <w:tc>
          <w:tcPr>
            <w:tcW w:type="dxa" w:w="2160"/>
          </w:tcPr>
          <w:p>
            <w:r>
              <w:t>Incident classified as contained; not a reportable HIPAA breach</w:t>
            </w:r>
          </w:p>
        </w:tc>
        <w:tc>
          <w:tcPr>
            <w:tcW w:type="dxa" w:w="2160"/>
          </w:tcPr>
          <w:p>
            <w:r>
              <w:t>Dr. Michael Bennett</w:t>
            </w:r>
          </w:p>
        </w:tc>
        <w:tc>
          <w:tcPr>
            <w:tcW w:type="dxa" w:w="2160"/>
          </w:tcPr>
          <w:p>
            <w:r>
              <w:t>Documented in C-001, Section 8</w:t>
            </w:r>
          </w:p>
        </w:tc>
      </w:tr>
      <w:tr>
        <w:tc>
          <w:tcPr>
            <w:tcW w:type="dxa" w:w="2160"/>
          </w:tcPr>
          <w:p>
            <w:r>
              <w:t>09/15/2026</w:t>
            </w:r>
          </w:p>
        </w:tc>
        <w:tc>
          <w:tcPr>
            <w:tcW w:type="dxa" w:w="2160"/>
          </w:tcPr>
          <w:p>
            <w:r>
              <w:t>Conducted the annual backup restoration test across the EHR, billing, and local workstation backups</w:t>
            </w:r>
          </w:p>
        </w:tc>
        <w:tc>
          <w:tcPr>
            <w:tcW w:type="dxa" w:w="2160"/>
          </w:tcPr>
          <w:p>
            <w:r>
              <w:t>Summit IT Partners</w:t>
            </w:r>
          </w:p>
        </w:tc>
        <w:tc>
          <w:tcPr>
            <w:tcW w:type="dxa" w:w="2160"/>
          </w:tcPr>
          <w:p>
            <w:r>
              <w:t>Restoration successful; R-013 residual risk confirmed at Low</w:t>
            </w:r>
          </w:p>
        </w:tc>
      </w:tr>
      <w:tr>
        <w:tc>
          <w:tcPr>
            <w:tcW w:type="dxa" w:w="2160"/>
          </w:tcPr>
          <w:p>
            <w:r>
              <w:t>09/15/2026</w:t>
            </w:r>
          </w:p>
        </w:tc>
        <w:tc>
          <w:tcPr>
            <w:tcW w:type="dxa" w:w="2160"/>
          </w:tcPr>
          <w:p>
            <w:r>
              <w:t>Updated the Risk Register with backup test results and closed the associated action item</w:t>
            </w:r>
          </w:p>
        </w:tc>
        <w:tc>
          <w:tcPr>
            <w:tcW w:type="dxa" w:w="2160"/>
          </w:tcPr>
          <w:p>
            <w:r>
              <w:t>Linda Foster</w:t>
            </w:r>
          </w:p>
        </w:tc>
        <w:tc>
          <w:tcPr>
            <w:tcW w:type="dxa" w:w="2160"/>
          </w:tcPr>
          <w:p>
            <w:r>
              <w:t>R-003 Dashboard reflects 0 open High/Critical residual risks</w:t>
            </w:r>
          </w:p>
        </w:tc>
      </w:tr>
    </w:tbl>
    <w:p/>
    <w:p>
      <w:pPr>
        <w:pStyle w:val="Heading1"/>
      </w:pPr>
      <w:r>
        <w:t>6. Deliverables Produced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Deliverable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Status</w:t>
            </w:r>
          </w:p>
        </w:tc>
        <w:tc>
          <w:tcPr>
            <w:tcW w:type="dxa" w:w="2880"/>
          </w:tcPr>
          <w:p>
            <w:r>
              <w:rPr>
                <w:b/>
              </w:rPr>
              <w:t>Reference</w:t>
            </w:r>
          </w:p>
        </w:tc>
      </w:tr>
      <w:tr>
        <w:tc>
          <w:tcPr>
            <w:tcW w:type="dxa" w:w="2880"/>
          </w:tcPr>
          <w:p>
            <w:r>
              <w:t>Updated Business Continuity procedures</w:t>
            </w:r>
          </w:p>
        </w:tc>
        <w:tc>
          <w:tcPr>
            <w:tcW w:type="dxa" w:w="2880"/>
          </w:tcPr>
          <w:p>
            <w:r>
              <w:t>Partial</w:t>
            </w:r>
          </w:p>
        </w:tc>
        <w:tc>
          <w:tcPr>
            <w:tcW w:type="dxa" w:w="2880"/>
          </w:tcPr>
          <w:p>
            <w:r>
              <w:t>Formal BC plan not yet drafted; informal procedures documented in F-002, Section 8</w:t>
            </w:r>
          </w:p>
        </w:tc>
      </w:tr>
      <w:tr>
        <w:tc>
          <w:tcPr>
            <w:tcW w:type="dxa" w:w="2880"/>
          </w:tcPr>
          <w:p>
            <w:r>
              <w:t>Disaster Recovery procedures</w:t>
            </w:r>
          </w:p>
        </w:tc>
        <w:tc>
          <w:tcPr>
            <w:tcW w:type="dxa" w:w="2880"/>
          </w:tcPr>
          <w:p>
            <w:r>
              <w:t>Complete</w:t>
            </w:r>
          </w:p>
        </w:tc>
        <w:tc>
          <w:tcPr>
            <w:tcW w:type="dxa" w:w="2880"/>
          </w:tcPr>
          <w:p>
            <w:r>
              <w:t>F-002 Backup &amp; Recovery table (Section 7)</w:t>
            </w:r>
          </w:p>
        </w:tc>
      </w:tr>
      <w:tr>
        <w:tc>
          <w:tcPr>
            <w:tcW w:type="dxa" w:w="2880"/>
          </w:tcPr>
          <w:p>
            <w:r>
              <w:t>Incident Response playbooks</w:t>
            </w:r>
          </w:p>
        </w:tc>
        <w:tc>
          <w:tcPr>
            <w:tcW w:type="dxa" w:w="2880"/>
          </w:tcPr>
          <w:p>
            <w:r>
              <w:t>Complete</w:t>
            </w:r>
          </w:p>
        </w:tc>
        <w:tc>
          <w:tcPr>
            <w:tcW w:type="dxa" w:w="2880"/>
          </w:tcPr>
          <w:p>
            <w:r>
              <w:t>C-001</w:t>
            </w:r>
          </w:p>
        </w:tc>
      </w:tr>
      <w:tr>
        <w:tc>
          <w:tcPr>
            <w:tcW w:type="dxa" w:w="2880"/>
          </w:tcPr>
          <w:p>
            <w:r>
              <w:t>Verified backup restoration results</w:t>
            </w:r>
          </w:p>
        </w:tc>
        <w:tc>
          <w:tcPr>
            <w:tcW w:type="dxa" w:w="2880"/>
          </w:tcPr>
          <w:p>
            <w:r>
              <w:t>Complete</w:t>
            </w:r>
          </w:p>
        </w:tc>
        <w:tc>
          <w:tcPr>
            <w:tcW w:type="dxa" w:w="2880"/>
          </w:tcPr>
          <w:p>
            <w:r>
              <w:t>Annual test completed 09/15/2026</w:t>
            </w:r>
          </w:p>
        </w:tc>
      </w:tr>
      <w:tr>
        <w:tc>
          <w:tcPr>
            <w:tcW w:type="dxa" w:w="2880"/>
          </w:tcPr>
          <w:p>
            <w:r>
              <w:t>Current emergency contact lists</w:t>
            </w:r>
          </w:p>
        </w:tc>
        <w:tc>
          <w:tcPr>
            <w:tcW w:type="dxa" w:w="2880"/>
          </w:tcPr>
          <w:p>
            <w:r>
              <w:t>Complete</w:t>
            </w:r>
          </w:p>
        </w:tc>
        <w:tc>
          <w:tcPr>
            <w:tcW w:type="dxa" w:w="2880"/>
          </w:tcPr>
          <w:p>
            <w:r>
              <w:t>C-001 Contact Directory</w:t>
            </w:r>
          </w:p>
        </w:tc>
      </w:tr>
      <w:tr>
        <w:tc>
          <w:tcPr>
            <w:tcW w:type="dxa" w:w="2880"/>
          </w:tcPr>
          <w:p>
            <w:r>
              <w:t>Updated risk treatment activities</w:t>
            </w:r>
          </w:p>
        </w:tc>
        <w:tc>
          <w:tcPr>
            <w:tcW w:type="dxa" w:w="2880"/>
          </w:tcPr>
          <w:p>
            <w:r>
              <w:t>Complete</w:t>
            </w:r>
          </w:p>
        </w:tc>
        <w:tc>
          <w:tcPr>
            <w:tcW w:type="dxa" w:w="2880"/>
          </w:tcPr>
          <w:p>
            <w:r>
              <w:t>R-003 Risk Assessment Worksheet</w:t>
            </w:r>
          </w:p>
        </w:tc>
      </w:tr>
      <w:tr>
        <w:tc>
          <w:tcPr>
            <w:tcW w:type="dxa" w:w="2880"/>
          </w:tcPr>
          <w:p>
            <w:r>
              <w:t>Lessons learned from exercises or incidents</w:t>
            </w:r>
          </w:p>
        </w:tc>
        <w:tc>
          <w:tcPr>
            <w:tcW w:type="dxa" w:w="2880"/>
          </w:tcPr>
          <w:p>
            <w:r>
              <w:t>Complete</w:t>
            </w:r>
          </w:p>
        </w:tc>
        <w:tc>
          <w:tcPr>
            <w:tcW w:type="dxa" w:w="2880"/>
          </w:tcPr>
          <w:p>
            <w:r>
              <w:t>C-001, Section 10</w:t>
            </w:r>
          </w:p>
        </w:tc>
      </w:tr>
    </w:tbl>
    <w:p/>
    <w:p>
      <w:pPr>
        <w:pStyle w:val="Heading1"/>
      </w:pPr>
      <w:r>
        <w:t>7. Common Mistakes Checked Against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Mistake to Avoid</w:t>
            </w:r>
          </w:p>
        </w:tc>
        <w:tc>
          <w:tcPr>
            <w:tcW w:type="dxa" w:w="2880"/>
          </w:tcPr>
          <w:p>
            <w:r>
              <w:rPr>
                <w:b/>
              </w:rPr>
              <w:t>Present?</w:t>
            </w:r>
          </w:p>
        </w:tc>
        <w:tc>
          <w:tcPr>
            <w:tcW w:type="dxa" w:w="2880"/>
          </w:tcPr>
          <w:p>
            <w:r>
              <w:rPr>
                <w:b/>
              </w:rPr>
              <w:t>Notes</w:t>
            </w:r>
          </w:p>
        </w:tc>
      </w:tr>
      <w:tr>
        <w:tc>
          <w:tcPr>
            <w:tcW w:type="dxa" w:w="2880"/>
          </w:tcPr>
          <w:p>
            <w:r>
              <w:t>Assuming backups work without testing them</w:t>
            </w:r>
          </w:p>
        </w:tc>
        <w:tc>
          <w:tcPr>
            <w:tcW w:type="dxa" w:w="2880"/>
          </w:tcPr>
          <w:p>
            <w:r>
              <w:t>Not Present</w:t>
            </w:r>
          </w:p>
        </w:tc>
        <w:tc>
          <w:tcPr>
            <w:tcW w:type="dxa" w:w="2880"/>
          </w:tcPr>
          <w:p>
            <w:r>
              <w:t>Restoration was formally tested this cycle</w:t>
            </w:r>
          </w:p>
        </w:tc>
      </w:tr>
      <w:tr>
        <w:tc>
          <w:tcPr>
            <w:tcW w:type="dxa" w:w="2880"/>
          </w:tcPr>
          <w:p>
            <w:r>
              <w:t>Developing recovery plans that depend on one employee</w:t>
            </w:r>
          </w:p>
        </w:tc>
        <w:tc>
          <w:tcPr>
            <w:tcW w:type="dxa" w:w="2880"/>
          </w:tcPr>
          <w:p>
            <w:r>
              <w:t>Present</w:t>
            </w:r>
          </w:p>
        </w:tc>
        <w:tc>
          <w:tcPr>
            <w:tcW w:type="dxa" w:w="2880"/>
          </w:tcPr>
          <w:p>
            <w:r>
              <w:t>Linda Foster remains the sole administrator for most recovery coordination (see R-017)</w:t>
            </w:r>
          </w:p>
        </w:tc>
      </w:tr>
      <w:tr>
        <w:tc>
          <w:tcPr>
            <w:tcW w:type="dxa" w:w="2880"/>
          </w:tcPr>
          <w:p>
            <w:r>
              <w:t>Failing to define manual workarounds during outages</w:t>
            </w:r>
          </w:p>
        </w:tc>
        <w:tc>
          <w:tcPr>
            <w:tcW w:type="dxa" w:w="2880"/>
          </w:tcPr>
          <w:p>
            <w:r>
              <w:t>Present</w:t>
            </w:r>
          </w:p>
        </w:tc>
        <w:tc>
          <w:tcPr>
            <w:tcW w:type="dxa" w:w="2880"/>
          </w:tcPr>
          <w:p>
            <w:r>
              <w:t>No documented manual fallback procedure yet (see R-007)</w:t>
            </w:r>
          </w:p>
        </w:tc>
      </w:tr>
      <w:tr>
        <w:tc>
          <w:tcPr>
            <w:tcW w:type="dxa" w:w="2880"/>
          </w:tcPr>
          <w:p>
            <w:r>
              <w:t>Waiting until an emergency to determine responsibilities</w:t>
            </w:r>
          </w:p>
        </w:tc>
        <w:tc>
          <w:tcPr>
            <w:tcW w:type="dxa" w:w="2880"/>
          </w:tcPr>
          <w:p>
            <w:r>
              <w:t>Not Present</w:t>
            </w:r>
          </w:p>
        </w:tc>
        <w:tc>
          <w:tcPr>
            <w:tcW w:type="dxa" w:w="2880"/>
          </w:tcPr>
          <w:p>
            <w:r>
              <w:t>Roles were pre-defined in C-001</w:t>
            </w:r>
          </w:p>
        </w:tc>
      </w:tr>
      <w:tr>
        <w:tc>
          <w:tcPr>
            <w:tcW w:type="dxa" w:w="2880"/>
          </w:tcPr>
          <w:p>
            <w:r>
              <w:t>Never reviewing or exercising recovery procedures</w:t>
            </w:r>
          </w:p>
        </w:tc>
        <w:tc>
          <w:tcPr>
            <w:tcW w:type="dxa" w:w="2880"/>
          </w:tcPr>
          <w:p>
            <w:r>
              <w:t>Not Present</w:t>
            </w:r>
          </w:p>
        </w:tc>
        <w:tc>
          <w:tcPr>
            <w:tcW w:type="dxa" w:w="2880"/>
          </w:tcPr>
          <w:p>
            <w:r>
              <w:t>Annual test completed this cycle</w:t>
            </w:r>
          </w:p>
        </w:tc>
      </w:tr>
    </w:tbl>
    <w:p/>
    <w:p>
      <w:pPr>
        <w:pStyle w:val="Heading1"/>
      </w:pPr>
      <w:r>
        <w:t>8. Success Check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Criterion</w:t>
            </w:r>
          </w:p>
        </w:tc>
        <w:tc>
          <w:tcPr>
            <w:tcW w:type="dxa" w:w="2880"/>
          </w:tcPr>
          <w:p>
            <w:r>
              <w:rPr>
                <w:b/>
              </w:rPr>
              <w:t>Status</w:t>
            </w:r>
          </w:p>
        </w:tc>
        <w:tc>
          <w:tcPr>
            <w:tcW w:type="dxa" w:w="2880"/>
          </w:tcPr>
          <w:p>
            <w:r>
              <w:rPr>
                <w:b/>
              </w:rPr>
              <w:t>Notes</w:t>
            </w:r>
          </w:p>
        </w:tc>
      </w:tr>
      <w:tr>
        <w:tc>
          <w:tcPr>
            <w:tcW w:type="dxa" w:w="2880"/>
          </w:tcPr>
          <w:p>
            <w:r>
              <w:t>Recovery priorities are clearly documented</w:t>
            </w:r>
          </w:p>
        </w:tc>
        <w:tc>
          <w:tcPr>
            <w:tcW w:type="dxa" w:w="2880"/>
          </w:tcPr>
          <w:p>
            <w:r>
              <w:t>Met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Backup restoration has been successfully tested</w:t>
            </w:r>
          </w:p>
        </w:tc>
        <w:tc>
          <w:tcPr>
            <w:tcW w:type="dxa" w:w="2880"/>
          </w:tcPr>
          <w:p>
            <w:r>
              <w:t>Met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Incident response responsibilities are understood</w:t>
            </w:r>
          </w:p>
        </w:tc>
        <w:tc>
          <w:tcPr>
            <w:tcW w:type="dxa" w:w="2880"/>
          </w:tcPr>
          <w:p>
            <w:r>
              <w:t>Met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Manual business processes have been identified</w:t>
            </w:r>
          </w:p>
        </w:tc>
        <w:tc>
          <w:tcPr>
            <w:tcW w:type="dxa" w:w="2880"/>
          </w:tcPr>
          <w:p>
            <w:r>
              <w:t>Partially Met</w:t>
            </w:r>
          </w:p>
        </w:tc>
        <w:tc>
          <w:tcPr>
            <w:tcW w:type="dxa" w:w="2880"/>
          </w:tcPr>
          <w:p>
            <w:r>
              <w:t>See R-007</w:t>
            </w:r>
          </w:p>
        </w:tc>
      </w:tr>
      <w:tr>
        <w:tc>
          <w:tcPr>
            <w:tcW w:type="dxa" w:w="2880"/>
          </w:tcPr>
          <w:p>
            <w:r>
              <w:t>Leadership can respond to a disruption without confusion or unnecessary delay</w:t>
            </w:r>
          </w:p>
        </w:tc>
        <w:tc>
          <w:tcPr>
            <w:tcW w:type="dxa" w:w="2880"/>
          </w:tcPr>
          <w:p>
            <w:r>
              <w:t>Met</w:t>
            </w:r>
          </w:p>
        </w:tc>
        <w:tc>
          <w:tcPr>
            <w:tcW w:type="dxa" w:w="2880"/>
          </w:tcPr>
          <w:p>
            <w:r/>
          </w:p>
        </w:tc>
      </w:tr>
    </w:tbl>
    <w:p/>
    <w:p>
      <w:pPr>
        <w:pStyle w:val="Heading1"/>
      </w:pPr>
      <w:r>
        <w:t>9. Next Steps / Carry-Forward Items</w:t>
      </w:r>
    </w:p>
    <w:p>
      <w:r>
        <w:rPr>
          <w:b w:val="0"/>
          <w:i w:val="0"/>
        </w:rPr>
        <w:t>Identify and train a backup administrator to reduce key-person dependency (R-017); document a paper-based EHR downtime procedure (R-007).</w:t>
      </w:r>
    </w:p>
    <w:p>
      <w:pPr>
        <w:pStyle w:val="Heading1"/>
      </w:pPr>
      <w:r>
        <w:t>Related Pragmatic GRC™ Resources</w:t>
      </w:r>
    </w:p>
    <w:p>
      <w:r>
        <w:t>• R-003 Risk Assessment Worksheet</w:t>
      </w:r>
    </w:p>
    <w:p>
      <w:r>
        <w:t>• C-001 Incident Response Playbook</w:t>
      </w:r>
    </w:p>
    <w:p>
      <w:r>
        <w:t>• F-002 Unified System Security Plan</w:t>
      </w:r>
    </w:p>
    <w:p>
      <w:r>
        <w:t>• G-002 Monthly GRC Heartbeat™ Checklist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