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IG-04</w:t>
        <w:br/>
        <w:t>Cultivate Implementation Guide — Execution Log</w:t>
      </w:r>
    </w:p>
    <w:p>
      <w:pPr>
        <w:jc w:val="center"/>
      </w:pPr>
      <w:r>
        <w:rPr>
          <w:i/>
        </w:rPr>
        <w:t>Operational Record | Based on Chapter 8.2, The Four Implementation Guides</w:t>
      </w:r>
    </w:p>
    <w:p>
      <w:pPr>
        <w:jc w:val="center"/>
      </w:pPr>
      <w:r>
        <w:rPr>
          <w:i/>
          <w:sz w:val="20"/>
        </w:rPr>
        <w:t>Embed compliance and governance into organizational culture.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>
              <w:t>Dr. Michael Bennett</w:t>
            </w:r>
          </w:p>
        </w:tc>
      </w:tr>
      <w:tr>
        <w:tc>
          <w:tcPr>
            <w:tcW w:type="dxa" w:w="4320"/>
          </w:tcPr>
          <w:p>
            <w:r>
              <w:t>Primary Living Document Supported</w:t>
            </w:r>
          </w:p>
        </w:tc>
        <w:tc>
          <w:tcPr>
            <w:tcW w:type="dxa" w:w="4320"/>
          </w:tcPr>
          <w:p>
            <w:r>
              <w:t>F-002 Unified System Security Plan</w:t>
            </w:r>
          </w:p>
        </w:tc>
      </w:tr>
      <w:tr>
        <w:tc>
          <w:tcPr>
            <w:tcW w:type="dxa" w:w="4320"/>
          </w:tcPr>
          <w:p>
            <w:r>
              <w:t>Period Covered</w:t>
            </w:r>
          </w:p>
        </w:tc>
        <w:tc>
          <w:tcPr>
            <w:tcW w:type="dxa" w:w="4320"/>
          </w:tcPr>
          <w:p>
            <w:r>
              <w:t>September 1, 2026 – September 7, 2026 (program launch)</w:t>
            </w:r>
          </w:p>
        </w:tc>
      </w:tr>
      <w:tr>
        <w:tc>
          <w:tcPr>
            <w:tcW w:type="dxa" w:w="4320"/>
          </w:tcPr>
          <w:p>
            <w:r>
              <w:t>Next Scheduled Use</w:t>
            </w:r>
          </w:p>
        </w:tc>
        <w:tc>
          <w:tcPr>
            <w:tcW w:type="dxa" w:w="4320"/>
          </w:tcPr>
          <w:p>
            <w:r>
              <w:t>Ongoing bi-weekly micro-training; reinforced at next onboarding</w:t>
            </w:r>
          </w:p>
        </w:tc>
      </w:tr>
    </w:tbl>
    <w:p/>
    <w:p>
      <w:pPr>
        <w:pStyle w:val="Heading1"/>
      </w:pPr>
      <w:r>
        <w:t>1. Trigger for This Cycle</w:t>
      </w:r>
    </w:p>
    <w:p>
      <w:r>
        <w:rPr>
          <w:b w:val="0"/>
          <w:i w:val="0"/>
        </w:rPr>
        <w:t>The corrective action tracker from the August 2026 incident (C-001, CA-001) called for formal, recurring phishing simulation training. This cycle launched that program, directly addressing the previously informal approach to security awareness (R-015).</w:t>
      </w:r>
    </w:p>
    <w:p>
      <w:pPr>
        <w:pStyle w:val="Heading1"/>
      </w:pPr>
      <w:r>
        <w:t>2. Primary Objective</w:t>
      </w:r>
    </w:p>
    <w:p>
      <w:r>
        <w:rPr>
          <w:b w:val="0"/>
          <w:i/>
        </w:rPr>
        <w:t>Build an enterprise human firewall, automate awareness training, map leadership steering, and scale compliance culture.</w:t>
      </w:r>
    </w:p>
    <w:p>
      <w:pPr>
        <w:pStyle w:val="Heading1"/>
      </w:pPr>
      <w:r>
        <w:t>3. Key Tasks Addressed This Cycle</w:t>
      </w:r>
    </w:p>
    <w:p>
      <w:r>
        <w:t>☑ Executing the under-60-minute user identity revocation and offboarding protocol</w:t>
      </w:r>
    </w:p>
    <w:p>
      <w:r>
        <w:t>☑ Conducting routine, bi-weekly social engineering and phishing micro-quizzes inside your communication apps</w:t>
      </w:r>
    </w:p>
    <w:p>
      <w:r>
        <w:t>☐ Embedding security checkpoints directly into the standard hiring, role-change, and exit lifecycles</w:t>
      </w:r>
    </w:p>
    <w:p>
      <w:r>
        <w:t>☑ Transitioning corporate governance from an annual administrative event into an ongoing executive cultural reflex</w:t>
      </w:r>
    </w:p>
    <w:p/>
    <w:p>
      <w:pPr>
        <w:pStyle w:val="Heading1"/>
      </w:pPr>
      <w:r>
        <w:t>4. Participants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Involvement</w:t>
            </w:r>
          </w:p>
        </w:tc>
      </w:tr>
      <w:tr>
        <w:tc>
          <w:tcPr>
            <w:tcW w:type="dxa" w:w="2880"/>
          </w:tcPr>
          <w:p>
            <w:r>
              <w:t>Linda Foster</w:t>
            </w:r>
          </w:p>
        </w:tc>
        <w:tc>
          <w:tcPr>
            <w:tcW w:type="dxa" w:w="2880"/>
          </w:tcPr>
          <w:p>
            <w:r>
              <w:t>HR / Program Administrator (Primary)</w:t>
            </w:r>
          </w:p>
        </w:tc>
        <w:tc>
          <w:tcPr>
            <w:tcW w:type="dxa" w:w="2880"/>
          </w:tcPr>
          <w:p>
            <w:r>
              <w:t>Designed and launched the training program</w:t>
            </w:r>
          </w:p>
        </w:tc>
      </w:tr>
      <w:tr>
        <w:tc>
          <w:tcPr>
            <w:tcW w:type="dxa" w:w="2880"/>
          </w:tcPr>
          <w:p>
            <w:r>
              <w:t>Dr. Michael Bennett</w:t>
            </w:r>
          </w:p>
        </w:tc>
        <w:tc>
          <w:tcPr>
            <w:tcW w:type="dxa" w:w="2880"/>
          </w:tcPr>
          <w:p>
            <w:r>
              <w:t>Business Owner (Supporting)</w:t>
            </w:r>
          </w:p>
        </w:tc>
        <w:tc>
          <w:tcPr>
            <w:tcW w:type="dxa" w:w="2880"/>
          </w:tcPr>
          <w:p>
            <w:r>
              <w:t>Endorsed the program to all staff</w:t>
            </w:r>
          </w:p>
        </w:tc>
      </w:tr>
      <w:tr>
        <w:tc>
          <w:tcPr>
            <w:tcW w:type="dxa" w:w="2880"/>
          </w:tcPr>
          <w:p>
            <w:r>
              <w:t>Dr. Sarah Whitfield, Amanda Cole PA-C, David Nguyen PA-C, Rachel Torres RN, Kevin Brooks LPN, Maria Gonzalez CNA, Tyler Simmons CNA, Jessica Park</w:t>
            </w:r>
          </w:p>
        </w:tc>
        <w:tc>
          <w:tcPr>
            <w:tcW w:type="dxa" w:w="2880"/>
          </w:tcPr>
          <w:p>
            <w:r>
              <w:t>All Staff (Participants)</w:t>
            </w:r>
          </w:p>
        </w:tc>
        <w:tc>
          <w:tcPr>
            <w:tcW w:type="dxa" w:w="2880"/>
          </w:tcPr>
          <w:p>
            <w:r>
              <w:t>Enrolled in the first training cycle</w:t>
            </w:r>
          </w:p>
        </w:tc>
      </w:tr>
    </w:tbl>
    <w:p/>
    <w:p>
      <w:pPr>
        <w:pStyle w:val="Heading1"/>
      </w:pPr>
      <w:r>
        <w:t>5. Actions Taken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2160"/>
          </w:tcPr>
          <w:p>
            <w:r>
              <w:t>09/01/2026</w:t>
            </w:r>
          </w:p>
        </w:tc>
        <w:tc>
          <w:tcPr>
            <w:tcW w:type="dxa" w:w="2160"/>
          </w:tcPr>
          <w:p>
            <w:r>
              <w:t>Selected and enrolled all staff in a quarterly phishing simulation platform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CA-001 marked Complete (see C-001)</w:t>
            </w:r>
          </w:p>
        </w:tc>
      </w:tr>
      <w:tr>
        <w:tc>
          <w:tcPr>
            <w:tcW w:type="dxa" w:w="2160"/>
          </w:tcPr>
          <w:p>
            <w:r>
              <w:t>09/03/2026</w:t>
            </w:r>
          </w:p>
        </w:tc>
        <w:tc>
          <w:tcPr>
            <w:tcW w:type="dxa" w:w="2160"/>
          </w:tcPr>
          <w:p>
            <w:r>
              <w:t>Delivered the first bi-weekly phishing micro-quiz via Microsoft Teams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9 of 10 staff completed within 48 hours</w:t>
            </w:r>
          </w:p>
        </w:tc>
      </w:tr>
      <w:tr>
        <w:tc>
          <w:tcPr>
            <w:tcW w:type="dxa" w:w="2160"/>
          </w:tcPr>
          <w:p>
            <w:r>
              <w:t>09/07/2026</w:t>
            </w:r>
          </w:p>
        </w:tc>
        <w:tc>
          <w:tcPr>
            <w:tcW w:type="dxa" w:w="2160"/>
          </w:tcPr>
          <w:p>
            <w:r>
              <w:t>Reviewed training completion and governance culture during the Monthly GRC Heartbeat™</w:t>
            </w:r>
          </w:p>
        </w:tc>
        <w:tc>
          <w:tcPr>
            <w:tcW w:type="dxa" w:w="2160"/>
          </w:tcPr>
          <w:p>
            <w:r>
              <w:t>Linda Foster / Dr. Michael Bennett</w:t>
            </w:r>
          </w:p>
        </w:tc>
        <w:tc>
          <w:tcPr>
            <w:tcW w:type="dxa" w:w="2160"/>
          </w:tcPr>
          <w:p>
            <w:r>
              <w:t>Recorded in G-002 KPI Review (Security Training Completion)</w:t>
            </w:r>
          </w:p>
        </w:tc>
      </w:tr>
    </w:tbl>
    <w:p/>
    <w:p>
      <w:pPr>
        <w:pStyle w:val="Heading1"/>
      </w:pPr>
      <w:r>
        <w:t>6. Deliverables Produced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880"/>
          </w:tcPr>
          <w:p>
            <w:r>
              <w:t>Updated onboarding and offboarding procedures</w:t>
            </w:r>
          </w:p>
        </w:tc>
        <w:tc>
          <w:tcPr>
            <w:tcW w:type="dxa" w:w="2880"/>
          </w:tcPr>
          <w:p>
            <w:r>
              <w:t>Partial</w:t>
            </w:r>
          </w:p>
        </w:tc>
        <w:tc>
          <w:tcPr>
            <w:tcW w:type="dxa" w:w="2880"/>
          </w:tcPr>
          <w:p>
            <w:r>
              <w:t>Formal written checklist still pending (R-005)</w:t>
            </w:r>
          </w:p>
        </w:tc>
      </w:tr>
      <w:tr>
        <w:tc>
          <w:tcPr>
            <w:tcW w:type="dxa" w:w="2880"/>
          </w:tcPr>
          <w:p>
            <w:r>
              <w:t>Current security awareness training records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Enrollment and completion tracked by Linda Foster</w:t>
            </w:r>
          </w:p>
        </w:tc>
      </w:tr>
      <w:tr>
        <w:tc>
          <w:tcPr>
            <w:tcW w:type="dxa" w:w="2880"/>
          </w:tcPr>
          <w:p>
            <w:r>
              <w:t>Role-based access reviews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Reviewed during the Monthly GRC Heartbeat™ (G-002, Section 3)</w:t>
            </w:r>
          </w:p>
        </w:tc>
      </w:tr>
      <w:tr>
        <w:tc>
          <w:tcPr>
            <w:tcW w:type="dxa" w:w="2880"/>
          </w:tcPr>
          <w:p>
            <w:r>
              <w:t>Governance responsibility assignments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F-002 Governance Roles table</w:t>
            </w:r>
          </w:p>
        </w:tc>
      </w:tr>
      <w:tr>
        <w:tc>
          <w:tcPr>
            <w:tcW w:type="dxa" w:w="2880"/>
          </w:tcPr>
          <w:p>
            <w:r>
              <w:t>Employee acknowledgment of security responsibilities</w:t>
            </w:r>
          </w:p>
        </w:tc>
        <w:tc>
          <w:tcPr>
            <w:tcW w:type="dxa" w:w="2880"/>
          </w:tcPr>
          <w:p>
            <w:r>
              <w:t>Partial</w:t>
            </w:r>
          </w:p>
        </w:tc>
        <w:tc>
          <w:tcPr>
            <w:tcW w:type="dxa" w:w="2880"/>
          </w:tcPr>
          <w:p>
            <w:r>
              <w:t>Verbal acknowledgment only; written process planned</w:t>
            </w:r>
          </w:p>
        </w:tc>
      </w:tr>
      <w:tr>
        <w:tc>
          <w:tcPr>
            <w:tcW w:type="dxa" w:w="2880"/>
          </w:tcPr>
          <w:p>
            <w:r>
              <w:t>Updated organizational accountability records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F-002, Section 4</w:t>
            </w:r>
          </w:p>
        </w:tc>
      </w:tr>
    </w:tbl>
    <w:p/>
    <w:p>
      <w:pPr>
        <w:pStyle w:val="Heading1"/>
      </w:pPr>
      <w:r>
        <w:t>7. Common Mistakes Checked Against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Mistake to Avoid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Present?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Treating security awareness as an annual checkbox exercise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Program is bi-weekly/quarterly, not annual</w:t>
            </w:r>
          </w:p>
        </w:tc>
      </w:tr>
      <w:tr>
        <w:tc>
          <w:tcPr>
            <w:tcW w:type="dxa" w:w="2880"/>
          </w:tcPr>
          <w:p>
            <w:r>
              <w:t>Forgetting to remove user accounts immediately after termination</w:t>
            </w:r>
          </w:p>
        </w:tc>
        <w:tc>
          <w:tcPr>
            <w:tcW w:type="dxa" w:w="2880"/>
          </w:tcPr>
          <w:p>
            <w:r>
              <w:t>Present</w:t>
            </w:r>
          </w:p>
        </w:tc>
        <w:tc>
          <w:tcPr>
            <w:tcW w:type="dxa" w:w="2880"/>
          </w:tcPr>
          <w:p>
            <w:r>
              <w:t>Offboarding still relies on verbal notification (R-005)</w:t>
            </w:r>
          </w:p>
        </w:tc>
      </w:tr>
      <w:tr>
        <w:tc>
          <w:tcPr>
            <w:tcW w:type="dxa" w:w="2880"/>
          </w:tcPr>
          <w:p>
            <w:r>
              <w:t>Assuming employees understand governance responsibilities without training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Formal training is now underway</w:t>
            </w:r>
          </w:p>
        </w:tc>
      </w:tr>
      <w:tr>
        <w:tc>
          <w:tcPr>
            <w:tcW w:type="dxa" w:w="2880"/>
          </w:tcPr>
          <w:p>
            <w:r>
              <w:t>Providing the same training regardless of job role</w:t>
            </w:r>
          </w:p>
        </w:tc>
        <w:tc>
          <w:tcPr>
            <w:tcW w:type="dxa" w:w="2880"/>
          </w:tcPr>
          <w:p>
            <w:r>
              <w:t>Present</w:t>
            </w:r>
          </w:p>
        </w:tc>
        <w:tc>
          <w:tcPr>
            <w:tcW w:type="dxa" w:w="2880"/>
          </w:tcPr>
          <w:p>
            <w:r>
              <w:t>Current program is one-size-fits-all; role-based content planned</w:t>
            </w:r>
          </w:p>
        </w:tc>
      </w:tr>
      <w:tr>
        <w:tc>
          <w:tcPr>
            <w:tcW w:type="dxa" w:w="2880"/>
          </w:tcPr>
          <w:p>
            <w:r>
              <w:t>Failing to reinforce good security behaviors throughout the year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Bi-weekly cadence established</w:t>
            </w:r>
          </w:p>
        </w:tc>
      </w:tr>
    </w:tbl>
    <w:p/>
    <w:p>
      <w:pPr>
        <w:pStyle w:val="Heading1"/>
      </w:pPr>
      <w:r>
        <w:t>8. Success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Employees understand their security responsibilities</w:t>
            </w:r>
          </w:p>
        </w:tc>
        <w:tc>
          <w:tcPr>
            <w:tcW w:type="dxa" w:w="2880"/>
          </w:tcPr>
          <w:p>
            <w:r>
              <w:t>Partially Met</w:t>
            </w:r>
          </w:p>
        </w:tc>
        <w:tc>
          <w:tcPr>
            <w:tcW w:type="dxa" w:w="2880"/>
          </w:tcPr>
          <w:p>
            <w:r>
              <w:t>Program just launched</w:t>
            </w:r>
          </w:p>
        </w:tc>
      </w:tr>
      <w:tr>
        <w:tc>
          <w:tcPr>
            <w:tcW w:type="dxa" w:w="2880"/>
          </w:tcPr>
          <w:p>
            <w:r>
              <w:t>New hires receive governance and security training during onboarding</w:t>
            </w:r>
          </w:p>
        </w:tc>
        <w:tc>
          <w:tcPr>
            <w:tcW w:type="dxa" w:w="2880"/>
          </w:tcPr>
          <w:p>
            <w:r>
              <w:t>Not Yet Met</w:t>
            </w:r>
          </w:p>
        </w:tc>
        <w:tc>
          <w:tcPr>
            <w:tcW w:type="dxa" w:w="2880"/>
          </w:tcPr>
          <w:p>
            <w:r>
              <w:t>No new hires since launch; process not yet formalized</w:t>
            </w:r>
          </w:p>
        </w:tc>
      </w:tr>
      <w:tr>
        <w:tc>
          <w:tcPr>
            <w:tcW w:type="dxa" w:w="2880"/>
          </w:tcPr>
          <w:p>
            <w:r>
              <w:t>Departing employees lose access promptly</w:t>
            </w:r>
          </w:p>
        </w:tc>
        <w:tc>
          <w:tcPr>
            <w:tcW w:type="dxa" w:w="2880"/>
          </w:tcPr>
          <w:p>
            <w:r>
              <w:t>Partially Met</w:t>
            </w:r>
          </w:p>
        </w:tc>
        <w:tc>
          <w:tcPr>
            <w:tcW w:type="dxa" w:w="2880"/>
          </w:tcPr>
          <w:p>
            <w:r>
              <w:t>See R-005</w:t>
            </w:r>
          </w:p>
        </w:tc>
      </w:tr>
      <w:tr>
        <w:tc>
          <w:tcPr>
            <w:tcW w:type="dxa" w:w="2880"/>
          </w:tcPr>
          <w:p>
            <w:r>
              <w:t>Leadership demonstrates accountability for governance decisions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Security awareness has become part of normal business operations rather than a once-a-year event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>
              <w:t>Program established</w:t>
            </w:r>
          </w:p>
        </w:tc>
      </w:tr>
    </w:tbl>
    <w:p/>
    <w:p>
      <w:pPr>
        <w:pStyle w:val="Heading1"/>
      </w:pPr>
      <w:r>
        <w:t>9. Next Steps / Carry-Forward Items</w:t>
      </w:r>
    </w:p>
    <w:p>
      <w:r>
        <w:rPr>
          <w:b w:val="0"/>
          <w:i w:val="0"/>
        </w:rPr>
        <w:t>Formalize the written offboarding checklist (R-005); develop role-based training content; introduce written acknowledgment of security responsibilities.</w:t>
      </w:r>
    </w:p>
    <w:p>
      <w:pPr>
        <w:pStyle w:val="Heading1"/>
      </w:pPr>
      <w:r>
        <w:t>Related Pragmatic GRC™ Resources</w:t>
      </w:r>
    </w:p>
    <w:p>
      <w:r>
        <w:t>• F-002 Unified System Security Plan</w:t>
      </w:r>
    </w:p>
    <w:p>
      <w:r>
        <w:t>• C-001 Incident Response Playbook</w:t>
      </w:r>
    </w:p>
    <w:p>
      <w:r>
        <w:t>• G-002 Monthly GRC Heartbeat™ Checklist</w:t>
      </w:r>
    </w:p>
    <w:p>
      <w:r>
        <w:t>• R-003 Risk Assessment Worksheet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