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Pragmatic GRC™</w:t>
      </w:r>
    </w:p>
    <w:p>
      <w:pPr>
        <w:jc w:val="center"/>
      </w:pPr>
      <w:r>
        <w:rPr>
          <w:b/>
          <w:sz w:val="32"/>
        </w:rPr>
        <w:t>P-Bundle</w:t>
        <w:br/>
        <w:t>Minimum Viable Policies</w:t>
      </w:r>
    </w:p>
    <w:p>
      <w:pPr>
        <w:pStyle w:val="Subtitle"/>
      </w:pPr>
      <w:r>
        <w:t>Policies &amp; Standards Resource | Version 1.0</w:t>
      </w:r>
    </w:p>
    <w:p>
      <w:pPr>
        <w:pStyle w:val="Heading1"/>
      </w:pPr>
      <w:r>
        <w:t>Document Information</w:t>
      </w:r>
    </w:p>
    <w:tbl>
      <w:tblPr>
        <w:tblStyle w:val="TableGrid"/>
        <w:tblW w:type="auto" w:w="0"/>
        <w:tblLook w:firstColumn="1" w:firstRow="1" w:lastColumn="0" w:lastRow="0" w:noHBand="0" w:noVBand="1" w:val="04A0"/>
      </w:tblPr>
      <w:tblGrid>
        <w:gridCol w:w="4320"/>
        <w:gridCol w:w="4320"/>
      </w:tblGrid>
      <w:tr>
        <w:tc>
          <w:tcPr>
            <w:tcW w:type="dxa" w:w="4320"/>
          </w:tcPr>
          <w:p>
            <w:r>
              <w:t>Organization</w:t>
            </w:r>
          </w:p>
        </w:tc>
        <w:tc>
          <w:tcPr>
            <w:tcW w:type="dxa" w:w="4320"/>
          </w:tcPr>
          <w:p>
            <w:r>
              <w:t>Orrville Medical Associates</w:t>
            </w:r>
          </w:p>
        </w:tc>
      </w:tr>
      <w:tr>
        <w:tc>
          <w:tcPr>
            <w:tcW w:type="dxa" w:w="4320"/>
          </w:tcPr>
          <w:p>
            <w:r>
              <w:t>Prepared By</w:t>
            </w:r>
          </w:p>
        </w:tc>
        <w:tc>
          <w:tcPr>
            <w:tcW w:type="dxa" w:w="4320"/>
          </w:tcPr>
          <w:p>
            <w:r>
              <w:t>Linda Foster</w:t>
            </w:r>
          </w:p>
        </w:tc>
      </w:tr>
      <w:tr>
        <w:tc>
          <w:tcPr>
            <w:tcW w:type="dxa" w:w="4320"/>
          </w:tcPr>
          <w:p>
            <w:r>
              <w:t>Approved By</w:t>
            </w:r>
          </w:p>
        </w:tc>
        <w:tc>
          <w:tcPr>
            <w:tcW w:type="dxa" w:w="4320"/>
          </w:tcPr>
          <w:p>
            <w:r>
              <w:t>Dr. Michael Bennett</w:t>
            </w:r>
          </w:p>
        </w:tc>
      </w:tr>
      <w:tr>
        <w:tc>
          <w:tcPr>
            <w:tcW w:type="dxa" w:w="4320"/>
          </w:tcPr>
          <w:p>
            <w:r>
              <w:t>Effective Date</w:t>
            </w:r>
          </w:p>
        </w:tc>
        <w:tc>
          <w:tcPr>
            <w:tcW w:type="dxa" w:w="4320"/>
          </w:tcPr>
          <w:p>
            <w:r>
              <w:t>November 15, 2026</w:t>
            </w:r>
          </w:p>
        </w:tc>
      </w:tr>
      <w:tr>
        <w:tc>
          <w:tcPr>
            <w:tcW w:type="dxa" w:w="4320"/>
          </w:tcPr>
          <w:p>
            <w:r>
              <w:t>Next Review</w:t>
            </w:r>
          </w:p>
        </w:tc>
        <w:tc>
          <w:tcPr>
            <w:tcW w:type="dxa" w:w="4320"/>
          </w:tcPr>
          <w:p>
            <w:r>
              <w:t>November 2027</w:t>
            </w:r>
          </w:p>
        </w:tc>
      </w:tr>
      <w:tr>
        <w:tc>
          <w:tcPr>
            <w:tcW w:type="dxa" w:w="4320"/>
          </w:tcPr>
          <w:p>
            <w:r>
              <w:t>Related Resources</w:t>
            </w:r>
          </w:p>
        </w:tc>
        <w:tc>
          <w:tcPr>
            <w:tcW w:type="dxa" w:w="4320"/>
          </w:tcPr>
          <w:p>
            <w:r>
              <w:t>F-002, F-004, C-006, R-004</w:t>
            </w:r>
          </w:p>
        </w:tc>
      </w:tr>
    </w:tbl>
    <w:p/>
    <w:p>
      <w:pPr>
        <w:pStyle w:val="Heading1"/>
      </w:pPr>
      <w:r>
        <w:t>Purpose &amp; Philosophy</w:t>
      </w:r>
    </w:p>
    <w:p>
      <w:r>
        <w:rPr>
          <w:b w:val="0"/>
          <w:i w:val="0"/>
        </w:rPr>
        <w:t>This bundle covers Orrville Medical Associates' four core policies — Acceptable Use, Password &amp; Authentication, Vendor Management, and Remote Work — in one short document instead of four separate ones. Each section states the rule plainly enough that any staff member, clinical or administrative, can follow it without needing to interpret legal language.</w:t>
      </w:r>
    </w:p>
    <w:p>
      <w:pPr>
        <w:pStyle w:val="Heading1"/>
      </w:pPr>
      <w:r>
        <w:t>1. Acceptable Use Policy</w:t>
      </w:r>
    </w:p>
    <w:p>
      <w:r>
        <w:rPr>
          <w:b w:val="0"/>
          <w:i w:val="0"/>
        </w:rPr>
        <w:t>Company systems — the EHR, Microsoft 365, the patient scheduling and billing systems, and all issued devices — are for business use supporting patient care and practice operations.</w:t>
      </w:r>
    </w:p>
    <w:tbl>
      <w:tblPr>
        <w:tblStyle w:val="TableGrid"/>
        <w:tblW w:type="auto" w:w="0"/>
        <w:tblLook w:firstColumn="1" w:firstRow="1" w:lastColumn="0" w:lastRow="0" w:noHBand="0" w:noVBand="1" w:val="04A0"/>
      </w:tblPr>
      <w:tblGrid>
        <w:gridCol w:w="8640"/>
      </w:tblGrid>
      <w:tr>
        <w:tc>
          <w:tcPr>
            <w:tcW w:type="dxa" w:w="8640"/>
          </w:tcPr>
          <w:p>
            <w:r>
              <w:rPr>
                <w:b/>
              </w:rPr>
              <w:t>Rule</w:t>
            </w:r>
          </w:p>
        </w:tc>
      </w:tr>
      <w:tr>
        <w:tc>
          <w:tcPr>
            <w:tcW w:type="dxa" w:w="8640"/>
          </w:tcPr>
          <w:p>
            <w:r>
              <w:t>Do not use clinical or billing systems for personal purposes.</w:t>
            </w:r>
          </w:p>
        </w:tc>
      </w:tr>
      <w:tr>
        <w:tc>
          <w:tcPr>
            <w:tcW w:type="dxa" w:w="8640"/>
          </w:tcPr>
          <w:p>
            <w:r>
              <w:t>Lock or log out of any workstation, laptop, or device before stepping away.</w:t>
            </w:r>
          </w:p>
        </w:tc>
      </w:tr>
      <w:tr>
        <w:tc>
          <w:tcPr>
            <w:tcW w:type="dxa" w:w="8640"/>
          </w:tcPr>
          <w:p>
            <w:r>
              <w:t>Do not install unapproved software on company-issued devices; contact Summit IT Partners for new software needs.</w:t>
            </w:r>
          </w:p>
        </w:tc>
      </w:tr>
      <w:tr>
        <w:tc>
          <w:tcPr>
            <w:tcW w:type="dxa" w:w="8640"/>
          </w:tcPr>
          <w:p>
            <w:r>
              <w:t>Report a lost or stolen device to Linda Foster immediately — see C-001 for the full incident process.</w:t>
            </w:r>
          </w:p>
        </w:tc>
      </w:tr>
    </w:tbl>
    <w:p/>
    <w:p>
      <w:pPr>
        <w:pStyle w:val="Heading1"/>
      </w:pPr>
      <w:r>
        <w:t>2. Password &amp; Authentication Policy</w:t>
      </w:r>
    </w:p>
    <w:p>
      <w:r>
        <w:rPr>
          <w:b w:val="0"/>
          <w:i w:val="0"/>
        </w:rPr>
        <w:t>Multi-factor authentication (MFA) is required on Microsoft 365, the EHR system, and all other systems that support it.</w:t>
      </w:r>
    </w:p>
    <w:tbl>
      <w:tblPr>
        <w:tblStyle w:val="TableGrid"/>
        <w:tblW w:type="auto" w:w="0"/>
        <w:tblLook w:firstColumn="1" w:firstRow="1" w:lastColumn="0" w:lastRow="0" w:noHBand="0" w:noVBand="1" w:val="04A0"/>
      </w:tblPr>
      <w:tblGrid>
        <w:gridCol w:w="8640"/>
      </w:tblGrid>
      <w:tr>
        <w:tc>
          <w:tcPr>
            <w:tcW w:type="dxa" w:w="8640"/>
          </w:tcPr>
          <w:p>
            <w:r>
              <w:rPr>
                <w:b/>
              </w:rPr>
              <w:t>Rule</w:t>
            </w:r>
          </w:p>
        </w:tc>
      </w:tr>
      <w:tr>
        <w:tc>
          <w:tcPr>
            <w:tcW w:type="dxa" w:w="8640"/>
          </w:tcPr>
          <w:p>
            <w:r>
              <w:t>Passwords must be at least 12 characters and unique to each system — no reuse across accounts.</w:t>
            </w:r>
          </w:p>
        </w:tc>
      </w:tr>
      <w:tr>
        <w:tc>
          <w:tcPr>
            <w:tcW w:type="dxa" w:w="8640"/>
          </w:tcPr>
          <w:p>
            <w:r>
              <w:t>Do not share login credentials with another staff member, including on shared nursing workstations.</w:t>
            </w:r>
          </w:p>
        </w:tc>
      </w:tr>
      <w:tr>
        <w:tc>
          <w:tcPr>
            <w:tcW w:type="dxa" w:w="8640"/>
          </w:tcPr>
          <w:p>
            <w:r>
              <w:t>Report any suspected compromised credential to Linda Foster immediately.</w:t>
            </w:r>
          </w:p>
        </w:tc>
      </w:tr>
    </w:tbl>
    <w:p/>
    <w:p>
      <w:pPr>
        <w:pStyle w:val="Heading1"/>
      </w:pPr>
      <w:r>
        <w:t>3. Vendor Management Policy</w:t>
      </w:r>
    </w:p>
    <w:p>
      <w:r>
        <w:rPr>
          <w:b w:val="0"/>
          <w:i w:val="0"/>
        </w:rPr>
        <w:t>No new vendor is granted access to Orrville's systems or data without a completed R-004 Vendor Risk Assessment and, where the vendor will handle patient health information, a signed Business Associate Agreement (BAA) on file before access begins.</w:t>
      </w:r>
    </w:p>
    <w:tbl>
      <w:tblPr>
        <w:tblStyle w:val="TableGrid"/>
        <w:tblW w:type="auto" w:w="0"/>
        <w:tblLook w:firstColumn="1" w:firstRow="1" w:lastColumn="0" w:lastRow="0" w:noHBand="0" w:noVBand="1" w:val="04A0"/>
      </w:tblPr>
      <w:tblGrid>
        <w:gridCol w:w="8640"/>
      </w:tblGrid>
      <w:tr>
        <w:tc>
          <w:tcPr>
            <w:tcW w:type="dxa" w:w="8640"/>
          </w:tcPr>
          <w:p>
            <w:r>
              <w:rPr>
                <w:b/>
              </w:rPr>
              <w:t>Rule</w:t>
            </w:r>
          </w:p>
        </w:tc>
      </w:tr>
      <w:tr>
        <w:tc>
          <w:tcPr>
            <w:tcW w:type="dxa" w:w="8640"/>
          </w:tcPr>
          <w:p>
            <w:r>
              <w:t>All vendor relationships are reviewed at least annually using R-004.</w:t>
            </w:r>
          </w:p>
        </w:tc>
      </w:tr>
      <w:tr>
        <w:tc>
          <w:tcPr>
            <w:tcW w:type="dxa" w:w="8640"/>
          </w:tcPr>
          <w:p>
            <w:r>
              <w:t>BAA status for every PHI-handling vendor is tracked and confirmed current.</w:t>
            </w:r>
          </w:p>
        </w:tc>
      </w:tr>
      <w:tr>
        <w:tc>
          <w:tcPr>
            <w:tcW w:type="dxa" w:w="8640"/>
          </w:tcPr>
          <w:p>
            <w:r>
              <w:t>Linda Foster is the single point of contact for all new vendor onboarding requests.</w:t>
            </w:r>
          </w:p>
        </w:tc>
      </w:tr>
    </w:tbl>
    <w:p/>
    <w:p>
      <w:pPr>
        <w:pStyle w:val="Heading1"/>
      </w:pPr>
      <w:r>
        <w:t>4. Remote Work Policy</w:t>
      </w:r>
    </w:p>
    <w:p>
      <w:r>
        <w:rPr>
          <w:b w:val="0"/>
          <w:i w:val="0"/>
        </w:rPr>
        <w:t>Remote access to Orrville's systems is limited to MSP-managed devices and accounts with MFA enabled.</w:t>
      </w:r>
    </w:p>
    <w:tbl>
      <w:tblPr>
        <w:tblStyle w:val="TableGrid"/>
        <w:tblW w:type="auto" w:w="0"/>
        <w:tblLook w:firstColumn="1" w:firstRow="1" w:lastColumn="0" w:lastRow="0" w:noHBand="0" w:noVBand="1" w:val="04A0"/>
      </w:tblPr>
      <w:tblGrid>
        <w:gridCol w:w="8640"/>
      </w:tblGrid>
      <w:tr>
        <w:tc>
          <w:tcPr>
            <w:tcW w:type="dxa" w:w="8640"/>
          </w:tcPr>
          <w:p>
            <w:r>
              <w:rPr>
                <w:b/>
              </w:rPr>
              <w:t>Rule</w:t>
            </w:r>
          </w:p>
        </w:tc>
      </w:tr>
      <w:tr>
        <w:tc>
          <w:tcPr>
            <w:tcW w:type="dxa" w:w="8640"/>
          </w:tcPr>
          <w:p>
            <w:r>
              <w:t>Patient health information may not be downloaded or stored on personal devices.</w:t>
            </w:r>
          </w:p>
        </w:tc>
      </w:tr>
      <w:tr>
        <w:tc>
          <w:tcPr>
            <w:tcW w:type="dxa" w:w="8640"/>
          </w:tcPr>
          <w:p>
            <w:r>
              <w:t>Remote access to the EHR or billing systems must use MFA — no exceptions.</w:t>
            </w:r>
          </w:p>
        </w:tc>
      </w:tr>
      <w:tr>
        <w:tc>
          <w:tcPr>
            <w:tcW w:type="dxa" w:w="8640"/>
          </w:tcPr>
          <w:p>
            <w:r>
              <w:t>Microsoft Teams is the approved channel for remote scheduling coordination.</w:t>
            </w:r>
          </w:p>
        </w:tc>
      </w:tr>
    </w:tbl>
    <w:p/>
    <w:p>
      <w:pPr>
        <w:pStyle w:val="Heading1"/>
      </w:pPr>
      <w:r>
        <w:t>Employee Acknowledgment</w:t>
      </w:r>
    </w:p>
    <w:p>
      <w:r>
        <w:rPr>
          <w:b w:val="0"/>
          <w:i/>
        </w:rPr>
        <w:t>I confirm that I have read and understood the four policies in this document, and agree to follow them.</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Employee Name</w:t>
            </w:r>
          </w:p>
        </w:tc>
        <w:tc>
          <w:tcPr>
            <w:tcW w:type="dxa" w:w="2880"/>
          </w:tcPr>
          <w:p>
            <w:r>
              <w:rPr>
                <w:b/>
              </w:rPr>
              <w:t>Signature</w:t>
            </w:r>
          </w:p>
        </w:tc>
        <w:tc>
          <w:tcPr>
            <w:tcW w:type="dxa" w:w="2880"/>
          </w:tcPr>
          <w:p>
            <w:r>
              <w:rPr>
                <w:b/>
              </w:rPr>
              <w:t>Date</w:t>
            </w:r>
          </w:p>
        </w:tc>
      </w:tr>
      <w:tr>
        <w:tc>
          <w:tcPr>
            <w:tcW w:type="dxa" w:w="2880"/>
          </w:tcPr>
          <w:p>
            <w:r>
              <w:t>Dr. Michael Bennett</w:t>
            </w:r>
          </w:p>
        </w:tc>
        <w:tc>
          <w:tcPr>
            <w:tcW w:type="dxa" w:w="2880"/>
          </w:tcPr>
          <w:p>
            <w:r>
              <w:t>[Signed]</w:t>
            </w:r>
          </w:p>
        </w:tc>
        <w:tc>
          <w:tcPr>
            <w:tcW w:type="dxa" w:w="2880"/>
          </w:tcPr>
          <w:p>
            <w:r>
              <w:t>November 15, 2026</w:t>
            </w:r>
          </w:p>
        </w:tc>
      </w:tr>
      <w:tr>
        <w:tc>
          <w:tcPr>
            <w:tcW w:type="dxa" w:w="2880"/>
          </w:tcPr>
          <w:p>
            <w:r>
              <w:t>Dr. Sarah Whitfield</w:t>
            </w:r>
          </w:p>
        </w:tc>
        <w:tc>
          <w:tcPr>
            <w:tcW w:type="dxa" w:w="2880"/>
          </w:tcPr>
          <w:p>
            <w:r>
              <w:t>[Signed]</w:t>
            </w:r>
          </w:p>
        </w:tc>
        <w:tc>
          <w:tcPr>
            <w:tcW w:type="dxa" w:w="2880"/>
          </w:tcPr>
          <w:p>
            <w:r>
              <w:t>November 15, 2026</w:t>
            </w:r>
          </w:p>
        </w:tc>
      </w:tr>
      <w:tr>
        <w:tc>
          <w:tcPr>
            <w:tcW w:type="dxa" w:w="2880"/>
          </w:tcPr>
          <w:p>
            <w:r>
              <w:t>Amanda Cole, PA-C</w:t>
            </w:r>
          </w:p>
        </w:tc>
        <w:tc>
          <w:tcPr>
            <w:tcW w:type="dxa" w:w="2880"/>
          </w:tcPr>
          <w:p>
            <w:r>
              <w:t>[Signed]</w:t>
            </w:r>
          </w:p>
        </w:tc>
        <w:tc>
          <w:tcPr>
            <w:tcW w:type="dxa" w:w="2880"/>
          </w:tcPr>
          <w:p>
            <w:r>
              <w:t>November 15, 2026</w:t>
            </w:r>
          </w:p>
        </w:tc>
      </w:tr>
      <w:tr>
        <w:tc>
          <w:tcPr>
            <w:tcW w:type="dxa" w:w="2880"/>
          </w:tcPr>
          <w:p>
            <w:r>
              <w:t>David Nguyen, PA-C</w:t>
            </w:r>
          </w:p>
        </w:tc>
        <w:tc>
          <w:tcPr>
            <w:tcW w:type="dxa" w:w="2880"/>
          </w:tcPr>
          <w:p>
            <w:r>
              <w:t>[Signed]</w:t>
            </w:r>
          </w:p>
        </w:tc>
        <w:tc>
          <w:tcPr>
            <w:tcW w:type="dxa" w:w="2880"/>
          </w:tcPr>
          <w:p>
            <w:r>
              <w:t>November 15, 2026</w:t>
            </w:r>
          </w:p>
        </w:tc>
      </w:tr>
      <w:tr>
        <w:tc>
          <w:tcPr>
            <w:tcW w:type="dxa" w:w="2880"/>
          </w:tcPr>
          <w:p>
            <w:r>
              <w:t>Rachel Torres, RN</w:t>
            </w:r>
          </w:p>
        </w:tc>
        <w:tc>
          <w:tcPr>
            <w:tcW w:type="dxa" w:w="2880"/>
          </w:tcPr>
          <w:p>
            <w:r>
              <w:t>[Signed]</w:t>
            </w:r>
          </w:p>
        </w:tc>
        <w:tc>
          <w:tcPr>
            <w:tcW w:type="dxa" w:w="2880"/>
          </w:tcPr>
          <w:p>
            <w:r>
              <w:t>November 15, 2026</w:t>
            </w:r>
          </w:p>
        </w:tc>
      </w:tr>
      <w:tr>
        <w:tc>
          <w:tcPr>
            <w:tcW w:type="dxa" w:w="2880"/>
          </w:tcPr>
          <w:p>
            <w:r>
              <w:t>Kevin Brooks, LPN</w:t>
            </w:r>
          </w:p>
        </w:tc>
        <w:tc>
          <w:tcPr>
            <w:tcW w:type="dxa" w:w="2880"/>
          </w:tcPr>
          <w:p>
            <w:r>
              <w:t>[Signed]</w:t>
            </w:r>
          </w:p>
        </w:tc>
        <w:tc>
          <w:tcPr>
            <w:tcW w:type="dxa" w:w="2880"/>
          </w:tcPr>
          <w:p>
            <w:r>
              <w:t>November 15, 2026</w:t>
            </w:r>
          </w:p>
        </w:tc>
      </w:tr>
      <w:tr>
        <w:tc>
          <w:tcPr>
            <w:tcW w:type="dxa" w:w="2880"/>
          </w:tcPr>
          <w:p>
            <w:r>
              <w:t>Maria Gonzalez, CNA</w:t>
            </w:r>
          </w:p>
        </w:tc>
        <w:tc>
          <w:tcPr>
            <w:tcW w:type="dxa" w:w="2880"/>
          </w:tcPr>
          <w:p>
            <w:r>
              <w:t>[Signed]</w:t>
            </w:r>
          </w:p>
        </w:tc>
        <w:tc>
          <w:tcPr>
            <w:tcW w:type="dxa" w:w="2880"/>
          </w:tcPr>
          <w:p>
            <w:r>
              <w:t>November 15, 2026</w:t>
            </w:r>
          </w:p>
        </w:tc>
      </w:tr>
      <w:tr>
        <w:tc>
          <w:tcPr>
            <w:tcW w:type="dxa" w:w="2880"/>
          </w:tcPr>
          <w:p>
            <w:r>
              <w:t>Tyler Simmons, CNA</w:t>
            </w:r>
          </w:p>
        </w:tc>
        <w:tc>
          <w:tcPr>
            <w:tcW w:type="dxa" w:w="2880"/>
          </w:tcPr>
          <w:p>
            <w:r>
              <w:t>[Signed]</w:t>
            </w:r>
          </w:p>
        </w:tc>
        <w:tc>
          <w:tcPr>
            <w:tcW w:type="dxa" w:w="2880"/>
          </w:tcPr>
          <w:p>
            <w:r>
              <w:t>November 15, 2026</w:t>
            </w:r>
          </w:p>
        </w:tc>
      </w:tr>
      <w:tr>
        <w:tc>
          <w:tcPr>
            <w:tcW w:type="dxa" w:w="2880"/>
          </w:tcPr>
          <w:p>
            <w:r>
              <w:t>Linda Foster</w:t>
            </w:r>
          </w:p>
        </w:tc>
        <w:tc>
          <w:tcPr>
            <w:tcW w:type="dxa" w:w="2880"/>
          </w:tcPr>
          <w:p>
            <w:r>
              <w:t>[Signed]</w:t>
            </w:r>
          </w:p>
        </w:tc>
        <w:tc>
          <w:tcPr>
            <w:tcW w:type="dxa" w:w="2880"/>
          </w:tcPr>
          <w:p>
            <w:r>
              <w:t>November 15, 2026</w:t>
            </w:r>
          </w:p>
        </w:tc>
      </w:tr>
      <w:tr>
        <w:tc>
          <w:tcPr>
            <w:tcW w:type="dxa" w:w="2880"/>
          </w:tcPr>
          <w:p>
            <w:r>
              <w:t>Jessica Park</w:t>
            </w:r>
          </w:p>
        </w:tc>
        <w:tc>
          <w:tcPr>
            <w:tcW w:type="dxa" w:w="2880"/>
          </w:tcPr>
          <w:p>
            <w:r>
              <w:t>[Signed]</w:t>
            </w:r>
          </w:p>
        </w:tc>
        <w:tc>
          <w:tcPr>
            <w:tcW w:type="dxa" w:w="2880"/>
          </w:tcPr>
          <w:p>
            <w:r>
              <w:t>November 15, 2026</w:t>
            </w:r>
          </w:p>
        </w:tc>
      </w:tr>
      <w:tr>
        <w:tc>
          <w:tcPr>
            <w:tcW w:type="dxa" w:w="2880"/>
          </w:tcPr>
          <w:p>
            <w:r>
              <w:t>Sofia Ramirez</w:t>
            </w:r>
          </w:p>
        </w:tc>
        <w:tc>
          <w:tcPr>
            <w:tcW w:type="dxa" w:w="2880"/>
          </w:tcPr>
          <w:p>
            <w:r>
              <w:t>[Signed]</w:t>
            </w:r>
          </w:p>
        </w:tc>
        <w:tc>
          <w:tcPr>
            <w:tcW w:type="dxa" w:w="2880"/>
          </w:tcPr>
          <w:p>
            <w:r>
              <w:t>November 15, 2026</w:t>
            </w:r>
          </w:p>
        </w:tc>
      </w:tr>
    </w:tbl>
    <w:p/>
    <w:p>
      <w:pPr>
        <w:pStyle w:val="Heading1"/>
      </w:pPr>
      <w:r>
        <w:t>Small Business Adaptation</w:t>
      </w:r>
    </w:p>
    <w:p>
      <w:r>
        <w:rPr>
          <w:b w:val="0"/>
          <w:i w:val="0"/>
        </w:rPr>
        <w:t>No legal team drafted this. Linda Foster and Dr. Bennett wrote it in plain language, reviewed it together, and rolled it out to all eleven staff in a single sitting — which is the entire point of a Minimum Viable Policy.</w:t>
      </w:r>
    </w:p>
    <w:p>
      <w:r>
        <w:rPr>
          <w:b/>
        </w:rPr>
        <w:t xml:space="preserve">🔗 Related Resources: </w:t>
      </w:r>
      <w:r>
        <w:t>F-002 Unified System Security Plan • F-004 Governance Roles &amp; Responsibilities • C-006 Identity Offboarding Protocol • R-004 Vendor Risk Assessment</w:t>
      </w:r>
    </w:p>
    <w:p>
      <w:pPr>
        <w:pStyle w:val="Heading1"/>
      </w:pPr>
      <w:r>
        <w:t>Revision History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Version</w:t>
            </w:r>
          </w:p>
        </w:tc>
        <w:tc>
          <w:tcPr>
            <w:tcW w:type="dxa" w:w="2160"/>
          </w:tcPr>
          <w:p>
            <w:r>
              <w:rPr>
                <w:b/>
              </w:rPr>
              <w:t>Date</w:t>
            </w:r>
          </w:p>
        </w:tc>
        <w:tc>
          <w:tcPr>
            <w:tcW w:type="dxa" w:w="2160"/>
          </w:tcPr>
          <w:p>
            <w:r>
              <w:rPr>
                <w:b/>
              </w:rPr>
              <w:t>Author</w:t>
            </w:r>
          </w:p>
        </w:tc>
        <w:tc>
          <w:tcPr>
            <w:tcW w:type="dxa" w:w="2160"/>
          </w:tcPr>
          <w:p>
            <w:r>
              <w:rPr>
                <w:b/>
              </w:rPr>
              <w:t>Description</w:t>
            </w:r>
          </w:p>
        </w:tc>
      </w:tr>
      <w:tr>
        <w:tc>
          <w:tcPr>
            <w:tcW w:type="dxa" w:w="2160"/>
          </w:tcPr>
          <w:p>
            <w:r>
              <w:t>1.0</w:t>
            </w:r>
          </w:p>
        </w:tc>
        <w:tc>
          <w:tcPr>
            <w:tcW w:type="dxa" w:w="2160"/>
          </w:tcPr>
          <w:p>
            <w:r>
              <w:t>November 15, 2026</w:t>
            </w:r>
          </w:p>
        </w:tc>
        <w:tc>
          <w:tcPr>
            <w:tcW w:type="dxa" w:w="2160"/>
          </w:tcPr>
          <w:p>
            <w:r>
              <w:t>Linda Foster</w:t>
            </w:r>
          </w:p>
        </w:tc>
        <w:tc>
          <w:tcPr>
            <w:tcW w:type="dxa" w:w="2160"/>
          </w:tcPr>
          <w:p>
            <w:r>
              <w:t>Initial policy bundle for Orrville Medical Associates</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