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Pragmatic GRC™</w:t>
      </w:r>
    </w:p>
    <w:p>
      <w:pPr>
        <w:jc w:val="center"/>
      </w:pPr>
      <w:r>
        <w:rPr>
          <w:b/>
          <w:sz w:val="32"/>
        </w:rPr>
        <w:t>R-004</w:t>
        <w:br/>
        <w:t>Vendor Risk Assessment</w:t>
      </w:r>
    </w:p>
    <w:p>
      <w:pPr>
        <w:pStyle w:val="Subtitle"/>
      </w:pPr>
      <w:r>
        <w:t>Risk Management Resource | Version 1.0</w:t>
      </w:r>
    </w:p>
    <w:p>
      <w:pPr>
        <w:pStyle w:val="Heading1"/>
      </w:pPr>
      <w:r>
        <w:t>Document Information</w:t>
      </w:r>
    </w:p>
    <w:tbl>
      <w:tblPr>
        <w:tblStyle w:val="TableGrid"/>
        <w:tblW w:type="auto" w:w="0"/>
        <w:tblLook w:firstColumn="1" w:firstRow="1" w:lastColumn="0" w:lastRow="0" w:noHBand="0" w:noVBand="1" w:val="04A0"/>
      </w:tblPr>
      <w:tblGrid>
        <w:gridCol w:w="4320"/>
        <w:gridCol w:w="4320"/>
      </w:tblGrid>
      <w:tr>
        <w:tc>
          <w:tcPr>
            <w:tcW w:type="dxa" w:w="4320"/>
          </w:tcPr>
          <w:p>
            <w:r>
              <w:t>Organization</w:t>
            </w:r>
          </w:p>
        </w:tc>
        <w:tc>
          <w:tcPr>
            <w:tcW w:type="dxa" w:w="4320"/>
          </w:tcPr>
          <w:p>
            <w:r>
              <w:t>Orrville Medical Associates</w:t>
            </w:r>
          </w:p>
        </w:tc>
      </w:tr>
      <w:tr>
        <w:tc>
          <w:tcPr>
            <w:tcW w:type="dxa" w:w="4320"/>
          </w:tcPr>
          <w:p>
            <w:r>
              <w:t>Vendor Being Assessed</w:t>
            </w:r>
          </w:p>
        </w:tc>
        <w:tc>
          <w:tcPr>
            <w:tcW w:type="dxa" w:w="4320"/>
          </w:tcPr>
          <w:p>
            <w:r>
              <w:t>EHR Software Vendor</w:t>
            </w:r>
          </w:p>
        </w:tc>
      </w:tr>
      <w:tr>
        <w:tc>
          <w:tcPr>
            <w:tcW w:type="dxa" w:w="4320"/>
          </w:tcPr>
          <w:p>
            <w:r>
              <w:t>Assessed By</w:t>
            </w:r>
          </w:p>
        </w:tc>
        <w:tc>
          <w:tcPr>
            <w:tcW w:type="dxa" w:w="4320"/>
          </w:tcPr>
          <w:p>
            <w:r>
              <w:t>Linda Foster</w:t>
            </w:r>
          </w:p>
        </w:tc>
      </w:tr>
      <w:tr>
        <w:tc>
          <w:tcPr>
            <w:tcW w:type="dxa" w:w="4320"/>
          </w:tcPr>
          <w:p>
            <w:r>
              <w:t>Assessment Date</w:t>
            </w:r>
          </w:p>
        </w:tc>
        <w:tc>
          <w:tcPr>
            <w:tcW w:type="dxa" w:w="4320"/>
          </w:tcPr>
          <w:p>
            <w:r>
              <w:t>October 5, 2026</w:t>
            </w:r>
          </w:p>
        </w:tc>
      </w:tr>
      <w:tr>
        <w:tc>
          <w:tcPr>
            <w:tcW w:type="dxa" w:w="4320"/>
          </w:tcPr>
          <w:p>
            <w:r>
              <w:t>Next Reassessment Due</w:t>
            </w:r>
          </w:p>
        </w:tc>
        <w:tc>
          <w:tcPr>
            <w:tcW w:type="dxa" w:w="4320"/>
          </w:tcPr>
          <w:p>
            <w:r>
              <w:t>October 2027</w:t>
            </w:r>
          </w:p>
        </w:tc>
      </w:tr>
      <w:tr>
        <w:tc>
          <w:tcPr>
            <w:tcW w:type="dxa" w:w="4320"/>
          </w:tcPr>
          <w:p>
            <w:r>
              <w:t>Related Resources</w:t>
            </w:r>
          </w:p>
        </w:tc>
        <w:tc>
          <w:tcPr>
            <w:tcW w:type="dxa" w:w="4320"/>
          </w:tcPr>
          <w:p>
            <w:r>
              <w:t>F-001, F-002, R-003</w:t>
            </w:r>
          </w:p>
        </w:tc>
      </w:tr>
    </w:tbl>
    <w:p/>
    <w:p>
      <w:pPr>
        <w:pStyle w:val="Heading1"/>
      </w:pPr>
      <w:r>
        <w:t>Purpose</w:t>
      </w:r>
    </w:p>
    <w:p>
      <w:r>
        <w:rPr>
          <w:b w:val="0"/>
          <w:i w:val="0"/>
        </w:rPr>
        <w:t>Evaluate a vendor's security posture and data-handling practices before granting them access to systems or data — and on a recurring basis afterward. This assessment covers Orrville's Electronic Health Record (EHR) vendor, the practice's single most critical technology relationship.</w:t>
      </w:r>
    </w:p>
    <w:p>
      <w:pPr>
        <w:pStyle w:val="Heading1"/>
      </w:pPr>
      <w:r>
        <w:t>1. Vendor Profile</w:t>
      </w:r>
    </w:p>
    <w:tbl>
      <w:tblPr>
        <w:tblStyle w:val="TableGrid"/>
        <w:tblW w:type="auto" w:w="0"/>
        <w:tblLook w:firstColumn="1" w:firstRow="1" w:lastColumn="0" w:lastRow="0" w:noHBand="0" w:noVBand="1" w:val="04A0"/>
      </w:tblPr>
      <w:tblGrid>
        <w:gridCol w:w="4320"/>
        <w:gridCol w:w="4320"/>
      </w:tblGrid>
      <w:tr>
        <w:tc>
          <w:tcPr>
            <w:tcW w:type="dxa" w:w="4320"/>
          </w:tcPr>
          <w:p>
            <w:r>
              <w:rPr>
                <w:b/>
              </w:rPr>
              <w:t>Field</w:t>
            </w:r>
          </w:p>
        </w:tc>
        <w:tc>
          <w:tcPr>
            <w:tcW w:type="dxa" w:w="4320"/>
          </w:tcPr>
          <w:p>
            <w:r>
              <w:rPr>
                <w:b/>
              </w:rPr>
              <w:t>Details</w:t>
            </w:r>
          </w:p>
        </w:tc>
      </w:tr>
      <w:tr>
        <w:tc>
          <w:tcPr>
            <w:tcW w:type="dxa" w:w="4320"/>
          </w:tcPr>
          <w:p>
            <w:r>
              <w:t>Vendor Name</w:t>
            </w:r>
          </w:p>
        </w:tc>
        <w:tc>
          <w:tcPr>
            <w:tcW w:type="dxa" w:w="4320"/>
          </w:tcPr>
          <w:p>
            <w:r>
              <w:t>EHR Software Vendor (see A-004 in F-001)</w:t>
            </w:r>
          </w:p>
        </w:tc>
      </w:tr>
      <w:tr>
        <w:tc>
          <w:tcPr>
            <w:tcW w:type="dxa" w:w="4320"/>
          </w:tcPr>
          <w:p>
            <w:r>
              <w:t>Service Provided</w:t>
            </w:r>
          </w:p>
        </w:tc>
        <w:tc>
          <w:tcPr>
            <w:tcW w:type="dxa" w:w="4320"/>
          </w:tcPr>
          <w:p>
            <w:r>
              <w:t>Electronic Health Record system — clinical documentation, e-prescribing, and insurance clearinghouse integration</w:t>
            </w:r>
          </w:p>
        </w:tc>
      </w:tr>
      <w:tr>
        <w:tc>
          <w:tcPr>
            <w:tcW w:type="dxa" w:w="4320"/>
          </w:tcPr>
          <w:p>
            <w:r>
              <w:t>Data or Systems They Can Access</w:t>
            </w:r>
          </w:p>
        </w:tc>
        <w:tc>
          <w:tcPr>
            <w:tcW w:type="dxa" w:w="4320"/>
          </w:tcPr>
          <w:p>
            <w:r>
              <w:t>Full patient health information (PHI); pharmacy and insurance network integrations</w:t>
            </w:r>
          </w:p>
        </w:tc>
      </w:tr>
      <w:tr>
        <w:tc>
          <w:tcPr>
            <w:tcW w:type="dxa" w:w="4320"/>
          </w:tcPr>
          <w:p>
            <w:r>
              <w:t>Contract Start / Renewal Date</w:t>
            </w:r>
          </w:p>
        </w:tc>
        <w:tc>
          <w:tcPr>
            <w:tcW w:type="dxa" w:w="4320"/>
          </w:tcPr>
          <w:p>
            <w:r>
              <w:t>Annual renewal, July 2026</w:t>
            </w:r>
          </w:p>
        </w:tc>
      </w:tr>
      <w:tr>
        <w:tc>
          <w:tcPr>
            <w:tcW w:type="dxa" w:w="4320"/>
          </w:tcPr>
          <w:p>
            <w:r>
              <w:t>Business Owner of This Relationship</w:t>
            </w:r>
          </w:p>
        </w:tc>
        <w:tc>
          <w:tcPr>
            <w:tcW w:type="dxa" w:w="4320"/>
          </w:tcPr>
          <w:p>
            <w:r>
              <w:t>Dr. Michael Bennett</w:t>
            </w:r>
          </w:p>
        </w:tc>
      </w:tr>
    </w:tbl>
    <w:p/>
    <w:p>
      <w:pPr>
        <w:pStyle w:val="Heading1"/>
      </w:pPr>
      <w:r>
        <w:t>2. Due Diligence Questionnaire</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Question</w:t>
            </w:r>
          </w:p>
        </w:tc>
        <w:tc>
          <w:tcPr>
            <w:tcW w:type="dxa" w:w="2880"/>
          </w:tcPr>
          <w:p>
            <w:r>
              <w:rPr>
                <w:b/>
              </w:rPr>
              <w:t>Response</w:t>
            </w:r>
          </w:p>
        </w:tc>
        <w:tc>
          <w:tcPr>
            <w:tcW w:type="dxa" w:w="2880"/>
          </w:tcPr>
          <w:p>
            <w:r>
              <w:rPr>
                <w:b/>
              </w:rPr>
              <w:t>Evidence Reviewed?</w:t>
            </w:r>
          </w:p>
        </w:tc>
      </w:tr>
      <w:tr>
        <w:tc>
          <w:tcPr>
            <w:tcW w:type="dxa" w:w="2880"/>
          </w:tcPr>
          <w:p>
            <w:r>
              <w:t>Do they have a signed Business Associate Agreement (BAA), if handling PHI?</w:t>
            </w:r>
          </w:p>
        </w:tc>
        <w:tc>
          <w:tcPr>
            <w:tcW w:type="dxa" w:w="2880"/>
          </w:tcPr>
          <w:p>
            <w:r>
              <w:t>Yes — BAA on file</w:t>
            </w:r>
          </w:p>
        </w:tc>
        <w:tc>
          <w:tcPr>
            <w:tcW w:type="dxa" w:w="2880"/>
          </w:tcPr>
          <w:p>
            <w:r>
              <w:t>☑</w:t>
            </w:r>
          </w:p>
        </w:tc>
      </w:tr>
      <w:tr>
        <w:tc>
          <w:tcPr>
            <w:tcW w:type="dxa" w:w="2880"/>
          </w:tcPr>
          <w:p>
            <w:r>
              <w:t>Do they enforce multi-factor authentication internally?</w:t>
            </w:r>
          </w:p>
        </w:tc>
        <w:tc>
          <w:tcPr>
            <w:tcW w:type="dxa" w:w="2880"/>
          </w:tcPr>
          <w:p>
            <w:r>
              <w:t>Yes — MFA enforced for all clinical user logins</w:t>
            </w:r>
          </w:p>
        </w:tc>
        <w:tc>
          <w:tcPr>
            <w:tcW w:type="dxa" w:w="2880"/>
          </w:tcPr>
          <w:p>
            <w:r>
              <w:t>☑</w:t>
            </w:r>
          </w:p>
        </w:tc>
      </w:tr>
      <w:tr>
        <w:tc>
          <w:tcPr>
            <w:tcW w:type="dxa" w:w="2880"/>
          </w:tcPr>
          <w:p>
            <w:r>
              <w:t>Do they hold a current security attestation (SOC 2, ISO 27001, or equivalent)?</w:t>
            </w:r>
          </w:p>
        </w:tc>
        <w:tc>
          <w:tcPr>
            <w:tcW w:type="dxa" w:w="2880"/>
          </w:tcPr>
          <w:p>
            <w:r>
              <w:t>Vendor states SOC 2 Type II; certificate requested but not yet received</w:t>
            </w:r>
          </w:p>
        </w:tc>
        <w:tc>
          <w:tcPr>
            <w:tcW w:type="dxa" w:w="2880"/>
          </w:tcPr>
          <w:p>
            <w:r>
              <w:t>☐</w:t>
            </w:r>
          </w:p>
        </w:tc>
      </w:tr>
      <w:tr>
        <w:tc>
          <w:tcPr>
            <w:tcW w:type="dxa" w:w="2880"/>
          </w:tcPr>
          <w:p>
            <w:r>
              <w:t>Have they disclosed any security incidents in the past 24 months?</w:t>
            </w:r>
          </w:p>
        </w:tc>
        <w:tc>
          <w:tcPr>
            <w:tcW w:type="dxa" w:w="2880"/>
          </w:tcPr>
          <w:p>
            <w:r>
              <w:t>None disclosed</w:t>
            </w:r>
          </w:p>
        </w:tc>
        <w:tc>
          <w:tcPr>
            <w:tcW w:type="dxa" w:w="2880"/>
          </w:tcPr>
          <w:p>
            <w:r>
              <w:t>☑</w:t>
            </w:r>
          </w:p>
        </w:tc>
      </w:tr>
      <w:tr>
        <w:tc>
          <w:tcPr>
            <w:tcW w:type="dxa" w:w="2880"/>
          </w:tcPr>
          <w:p>
            <w:r>
              <w:t>Do they use subcontractors who would also access your data?</w:t>
            </w:r>
          </w:p>
        </w:tc>
        <w:tc>
          <w:tcPr>
            <w:tcW w:type="dxa" w:w="2880"/>
          </w:tcPr>
          <w:p>
            <w:r>
              <w:t>Yes — cloud hosting subprocessor disclosed in their privacy documentation</w:t>
            </w:r>
          </w:p>
        </w:tc>
        <w:tc>
          <w:tcPr>
            <w:tcW w:type="dxa" w:w="2880"/>
          </w:tcPr>
          <w:p>
            <w:r>
              <w:t>☑</w:t>
            </w:r>
          </w:p>
        </w:tc>
      </w:tr>
      <w:tr>
        <w:tc>
          <w:tcPr>
            <w:tcW w:type="dxa" w:w="2880"/>
          </w:tcPr>
          <w:p>
            <w:r>
              <w:t>What is their data breach notification timeline commitment?</w:t>
            </w:r>
          </w:p>
        </w:tc>
        <w:tc>
          <w:tcPr>
            <w:tcW w:type="dxa" w:w="2880"/>
          </w:tcPr>
          <w:p>
            <w:r>
              <w:t>Within 72 hours per contract terms</w:t>
            </w:r>
          </w:p>
        </w:tc>
        <w:tc>
          <w:tcPr>
            <w:tcW w:type="dxa" w:w="2880"/>
          </w:tcPr>
          <w:p>
            <w:r>
              <w:t>☑</w:t>
            </w:r>
          </w:p>
        </w:tc>
      </w:tr>
      <w:tr>
        <w:tc>
          <w:tcPr>
            <w:tcW w:type="dxa" w:w="2880"/>
          </w:tcPr>
          <w:p>
            <w:r>
              <w:t>Do they encrypt data at rest and in transit?</w:t>
            </w:r>
          </w:p>
        </w:tc>
        <w:tc>
          <w:tcPr>
            <w:tcW w:type="dxa" w:w="2880"/>
          </w:tcPr>
          <w:p>
            <w:r>
              <w:t>Yes, per vendor documentation</w:t>
            </w:r>
          </w:p>
        </w:tc>
        <w:tc>
          <w:tcPr>
            <w:tcW w:type="dxa" w:w="2880"/>
          </w:tcPr>
          <w:p>
            <w:r>
              <w:t>☑</w:t>
            </w:r>
          </w:p>
        </w:tc>
      </w:tr>
    </w:tbl>
    <w:p/>
    <w:p>
      <w:pPr>
        <w:pStyle w:val="Heading1"/>
      </w:pPr>
      <w:r>
        <w:t>3. Risk Scoring</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Factor</w:t>
            </w:r>
          </w:p>
        </w:tc>
        <w:tc>
          <w:tcPr>
            <w:tcW w:type="dxa" w:w="2880"/>
          </w:tcPr>
          <w:p>
            <w:r>
              <w:rPr>
                <w:b/>
              </w:rPr>
              <w:t>Score (1–3)</w:t>
            </w:r>
          </w:p>
        </w:tc>
        <w:tc>
          <w:tcPr>
            <w:tcW w:type="dxa" w:w="2880"/>
          </w:tcPr>
          <w:p>
            <w:r>
              <w:rPr>
                <w:b/>
              </w:rPr>
              <w:t>Notes</w:t>
            </w:r>
          </w:p>
        </w:tc>
      </w:tr>
      <w:tr>
        <w:tc>
          <w:tcPr>
            <w:tcW w:type="dxa" w:w="2880"/>
          </w:tcPr>
          <w:p>
            <w:r>
              <w:t>Data sensitivity accessed</w:t>
            </w:r>
          </w:p>
        </w:tc>
        <w:tc>
          <w:tcPr>
            <w:tcW w:type="dxa" w:w="2880"/>
          </w:tcPr>
          <w:p>
            <w:r>
              <w:t>3</w:t>
            </w:r>
          </w:p>
        </w:tc>
        <w:tc>
          <w:tcPr>
            <w:tcW w:type="dxa" w:w="2880"/>
          </w:tcPr>
          <w:p>
            <w:r>
              <w:t>Full PHI access — highest sensitivity</w:t>
            </w:r>
          </w:p>
        </w:tc>
      </w:tr>
      <w:tr>
        <w:tc>
          <w:tcPr>
            <w:tcW w:type="dxa" w:w="2880"/>
          </w:tcPr>
          <w:p>
            <w:r>
              <w:t>Criticality to business operations if vendor fails</w:t>
            </w:r>
          </w:p>
        </w:tc>
        <w:tc>
          <w:tcPr>
            <w:tcW w:type="dxa" w:w="2880"/>
          </w:tcPr>
          <w:p>
            <w:r>
              <w:t>3</w:t>
            </w:r>
          </w:p>
        </w:tc>
        <w:tc>
          <w:tcPr>
            <w:tcW w:type="dxa" w:w="2880"/>
          </w:tcPr>
          <w:p>
            <w:r>
              <w:t>Clinical operations depend entirely on this system</w:t>
            </w:r>
          </w:p>
        </w:tc>
      </w:tr>
      <w:tr>
        <w:tc>
          <w:tcPr>
            <w:tcW w:type="dxa" w:w="2880"/>
          </w:tcPr>
          <w:p>
            <w:r>
              <w:t>Vendor security maturity (based on questionnaire above)</w:t>
            </w:r>
          </w:p>
        </w:tc>
        <w:tc>
          <w:tcPr>
            <w:tcW w:type="dxa" w:w="2880"/>
          </w:tcPr>
          <w:p>
            <w:r>
              <w:t>2</w:t>
            </w:r>
          </w:p>
        </w:tc>
        <w:tc>
          <w:tcPr>
            <w:tcW w:type="dxa" w:w="2880"/>
          </w:tcPr>
          <w:p>
            <w:r>
              <w:t>Strong practices; formal SOC 2 certificate still pending confirmation</w:t>
            </w:r>
          </w:p>
        </w:tc>
      </w:tr>
    </w:tbl>
    <w:p/>
    <w:p>
      <w:r>
        <w:rPr>
          <w:b/>
        </w:rPr>
        <w:t xml:space="preserve">✓ Best Practice: </w:t>
      </w:r>
      <w:r>
        <w:t>High data sensitivity and high criticality mean this vendor gets reassessed annually without exception, even with no incidents on record.</w:t>
      </w:r>
    </w:p>
    <w:p>
      <w:pPr>
        <w:pStyle w:val="Heading1"/>
      </w:pPr>
      <w:r>
        <w:t>4. Findings &amp; Recommended Treatment</w:t>
      </w:r>
    </w:p>
    <w:p>
      <w:r>
        <w:rPr>
          <w:b w:val="0"/>
          <w:i w:val="0"/>
        </w:rPr>
        <w:t>Overall risk is Medium, driven primarily by unconfirmed formal certification rather than any identified security gap. The BAA, MFA enforcement, and breach notification terms are all in place and satisfactory. Recommended action: obtain and file the vendor's current SOC 2 Type II report before the next reassessment.</w:t>
      </w:r>
    </w:p>
    <w:p>
      <w:r>
        <w:rPr>
          <w:b w:val="0"/>
          <w:i/>
        </w:rPr>
        <w:t>This finding has been logged in R-003 — Risk Assessment Worksheet.</w:t>
      </w:r>
    </w:p>
    <w:p>
      <w:pPr>
        <w:pStyle w:val="Heading1"/>
      </w:pPr>
      <w:r>
        <w:t>5. Approval &amp; Reassessment Schedule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Approved By</w:t>
            </w:r>
          </w:p>
        </w:tc>
        <w:tc>
          <w:tcPr>
            <w:tcW w:type="dxa" w:w="2160"/>
          </w:tcPr>
          <w:p>
            <w:r>
              <w:rPr>
                <w:b/>
              </w:rPr>
              <w:t>Role</w:t>
            </w:r>
          </w:p>
        </w:tc>
        <w:tc>
          <w:tcPr>
            <w:tcW w:type="dxa" w:w="2160"/>
          </w:tcPr>
          <w:p>
            <w:r>
              <w:rPr>
                <w:b/>
              </w:rPr>
              <w:t>Date</w:t>
            </w:r>
          </w:p>
        </w:tc>
        <w:tc>
          <w:tcPr>
            <w:tcW w:type="dxa" w:w="2160"/>
          </w:tcPr>
          <w:p>
            <w:r>
              <w:rPr>
                <w:b/>
              </w:rPr>
              <w:t>Next Reassessment</w:t>
            </w:r>
          </w:p>
        </w:tc>
      </w:tr>
      <w:tr>
        <w:tc>
          <w:tcPr>
            <w:tcW w:type="dxa" w:w="2160"/>
          </w:tcPr>
          <w:p>
            <w:r>
              <w:t>Dr. Michael Bennett</w:t>
            </w:r>
          </w:p>
        </w:tc>
        <w:tc>
          <w:tcPr>
            <w:tcW w:type="dxa" w:w="2160"/>
          </w:tcPr>
          <w:p>
            <w:r>
              <w:t>Business Owner</w:t>
            </w:r>
          </w:p>
        </w:tc>
        <w:tc>
          <w:tcPr>
            <w:tcW w:type="dxa" w:w="2160"/>
          </w:tcPr>
          <w:p>
            <w:r>
              <w:t>October 5, 2026</w:t>
            </w:r>
          </w:p>
        </w:tc>
        <w:tc>
          <w:tcPr>
            <w:tcW w:type="dxa" w:w="2160"/>
          </w:tcPr>
          <w:p>
            <w:r>
              <w:t>October 2027</w:t>
            </w:r>
          </w:p>
        </w:tc>
      </w:tr>
    </w:tbl>
    <w:p/>
    <w:p>
      <w:pPr>
        <w:pStyle w:val="Heading1"/>
      </w:pPr>
      <w:r>
        <w:t>Small Business Adaptation</w:t>
      </w:r>
    </w:p>
    <w:p>
      <w:r>
        <w:rPr>
          <w:b w:val="0"/>
          <w:i w:val="0"/>
        </w:rPr>
        <w:t>Orrville does not use a formal vendor management platform. This questionnaire, completed annually for the practice's highest-risk vendors — starting with the EHR system — covers the material risk without adding a new tool to manage.</w:t>
      </w:r>
    </w:p>
    <w:p>
      <w:r>
        <w:rPr>
          <w:b/>
        </w:rPr>
        <w:t xml:space="preserve">🔗 Related Resources: </w:t>
      </w:r>
      <w:r>
        <w:t>F-001 Master Asset Register • F-002 Unified System Security Plan • R-003 Risk Assessment Worksheet</w:t>
      </w:r>
    </w:p>
    <w:p>
      <w:pPr>
        <w:pStyle w:val="Heading1"/>
      </w:pPr>
      <w:r>
        <w:t>Revision History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Version</w:t>
            </w:r>
          </w:p>
        </w:tc>
        <w:tc>
          <w:tcPr>
            <w:tcW w:type="dxa" w:w="2160"/>
          </w:tcPr>
          <w:p>
            <w:r>
              <w:rPr>
                <w:b/>
              </w:rPr>
              <w:t>Date</w:t>
            </w:r>
          </w:p>
        </w:tc>
        <w:tc>
          <w:tcPr>
            <w:tcW w:type="dxa" w:w="2160"/>
          </w:tcPr>
          <w:p>
            <w:r>
              <w:rPr>
                <w:b/>
              </w:rPr>
              <w:t>Author</w:t>
            </w:r>
          </w:p>
        </w:tc>
        <w:tc>
          <w:tcPr>
            <w:tcW w:type="dxa" w:w="2160"/>
          </w:tcPr>
          <w:p>
            <w:r>
              <w:rPr>
                <w:b/>
              </w:rPr>
              <w:t>Description</w:t>
            </w:r>
          </w:p>
        </w:tc>
      </w:tr>
      <w:tr>
        <w:tc>
          <w:tcPr>
            <w:tcW w:type="dxa" w:w="2160"/>
          </w:tcPr>
          <w:p>
            <w:r>
              <w:t>1.0</w:t>
            </w:r>
          </w:p>
        </w:tc>
        <w:tc>
          <w:tcPr>
            <w:tcW w:type="dxa" w:w="2160"/>
          </w:tcPr>
          <w:p>
            <w:r>
              <w:t>October 5, 2026</w:t>
            </w:r>
          </w:p>
        </w:tc>
        <w:tc>
          <w:tcPr>
            <w:tcW w:type="dxa" w:w="2160"/>
          </w:tcPr>
          <w:p>
            <w:r>
              <w:t>Linda Foster</w:t>
            </w:r>
          </w:p>
        </w:tc>
        <w:tc>
          <w:tcPr>
            <w:tcW w:type="dxa" w:w="2160"/>
          </w:tcPr>
          <w:p>
            <w:r>
              <w:t>Initial vendor risk assessment (EHR Software Vendor) for Orrville Medical Associates</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